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8182"/>
      </w:tblGrid>
      <w:tr w:rsidR="00B911E1" w14:paraId="4C6DEF96" w14:textId="77777777" w:rsidTr="00C269B9">
        <w:trPr>
          <w:trHeight w:val="2329"/>
        </w:trPr>
        <w:tc>
          <w:tcPr>
            <w:tcW w:w="10416" w:type="dxa"/>
            <w:gridSpan w:val="2"/>
            <w:tcBorders>
              <w:bottom w:val="nil"/>
            </w:tcBorders>
          </w:tcPr>
          <w:p w14:paraId="418BA25E" w14:textId="77777777" w:rsidR="00B911E1" w:rsidRDefault="00130E27">
            <w:pPr>
              <w:pStyle w:val="TableParagraph"/>
              <w:spacing w:before="13" w:line="412" w:lineRule="exact"/>
              <w:ind w:left="2332" w:right="2307" w:firstLine="1267"/>
              <w:rPr>
                <w:b/>
                <w:sz w:val="24"/>
              </w:rPr>
            </w:pPr>
            <w:r>
              <w:rPr>
                <w:b/>
                <w:sz w:val="24"/>
              </w:rPr>
              <w:t>MONTANA SURPLUS LINES ENDORSEMENT / CANCELLATION COVER SHEET</w:t>
            </w:r>
          </w:p>
          <w:p w14:paraId="5F38F4E4" w14:textId="77777777" w:rsidR="00B911E1" w:rsidRDefault="00130E27">
            <w:pPr>
              <w:pStyle w:val="TableParagraph"/>
              <w:ind w:right="170"/>
              <w:rPr>
                <w:b/>
              </w:rPr>
            </w:pPr>
            <w:r>
              <w:rPr>
                <w:b/>
                <w:u w:val="thick"/>
              </w:rPr>
              <w:t>THIS FORM IS TO BE USED FOR ELECTRONIC FILINGS ONLY – A 0% (0.0) STAMPING FEE WILL</w:t>
            </w:r>
            <w:r>
              <w:rPr>
                <w:b/>
              </w:rPr>
              <w:t xml:space="preserve"> </w:t>
            </w:r>
            <w:r>
              <w:rPr>
                <w:b/>
                <w:u w:val="thick"/>
              </w:rPr>
              <w:t>BE ASSESSED FOR FILINGS WITH THIS FORM – RETAIN A COPY FOR YOUR RECORDS</w:t>
            </w:r>
          </w:p>
          <w:p w14:paraId="2717C059" w14:textId="77777777" w:rsidR="00B911E1" w:rsidRDefault="00B911E1">
            <w:pPr>
              <w:pStyle w:val="TableParagraph"/>
              <w:spacing w:before="5"/>
              <w:ind w:left="0"/>
              <w:rPr>
                <w:rFonts w:ascii="Times New Roman"/>
                <w:sz w:val="30"/>
              </w:rPr>
            </w:pPr>
          </w:p>
          <w:p w14:paraId="553AD0ED" w14:textId="77777777" w:rsidR="00B911E1" w:rsidRDefault="00130E27">
            <w:pPr>
              <w:pStyle w:val="TableParagraph"/>
              <w:ind w:right="170"/>
              <w:rPr>
                <w:b/>
                <w:sz w:val="20"/>
              </w:rPr>
            </w:pPr>
            <w:r>
              <w:rPr>
                <w:b/>
                <w:sz w:val="20"/>
                <w:u w:val="thick"/>
              </w:rPr>
              <w:t>NOTICE: ALL FIELDS IN THE ELECTRONIC FILING MUST BE COMPLETED, PER INSTRUCTIONS, TO</w:t>
            </w:r>
            <w:r>
              <w:rPr>
                <w:b/>
                <w:sz w:val="20"/>
              </w:rPr>
              <w:t xml:space="preserve"> </w:t>
            </w:r>
            <w:r>
              <w:rPr>
                <w:b/>
                <w:sz w:val="20"/>
                <w:u w:val="thick"/>
              </w:rPr>
              <w:t>SUBMIT THE FILING TO THE CSI</w:t>
            </w:r>
          </w:p>
        </w:tc>
      </w:tr>
      <w:tr w:rsidR="00B911E1" w14:paraId="5B9545BF" w14:textId="77777777">
        <w:trPr>
          <w:trHeight w:val="941"/>
        </w:trPr>
        <w:tc>
          <w:tcPr>
            <w:tcW w:w="10416" w:type="dxa"/>
            <w:gridSpan w:val="2"/>
            <w:tcBorders>
              <w:top w:val="nil"/>
              <w:bottom w:val="nil"/>
            </w:tcBorders>
          </w:tcPr>
          <w:p w14:paraId="308D1F04" w14:textId="77777777" w:rsidR="00B911E1" w:rsidRDefault="00130E27">
            <w:pPr>
              <w:pStyle w:val="TableParagraph"/>
              <w:tabs>
                <w:tab w:val="left" w:pos="2606"/>
                <w:tab w:val="left" w:pos="9270"/>
              </w:tabs>
              <w:spacing w:before="225"/>
              <w:rPr>
                <w:sz w:val="24"/>
              </w:rPr>
            </w:pPr>
            <w:r>
              <w:rPr>
                <w:sz w:val="24"/>
              </w:rPr>
              <w:t>NAME OF</w:t>
            </w:r>
            <w:r>
              <w:rPr>
                <w:spacing w:val="-5"/>
                <w:sz w:val="24"/>
              </w:rPr>
              <w:t xml:space="preserve"> </w:t>
            </w:r>
            <w:r>
              <w:rPr>
                <w:sz w:val="24"/>
              </w:rPr>
              <w:t>INSURED</w:t>
            </w:r>
            <w:r>
              <w:rPr>
                <w:sz w:val="24"/>
              </w:rPr>
              <w:tab/>
            </w:r>
            <w:r>
              <w:rPr>
                <w:sz w:val="24"/>
                <w:u w:val="single"/>
              </w:rPr>
              <w:t xml:space="preserve"> </w:t>
            </w:r>
            <w:r>
              <w:rPr>
                <w:sz w:val="24"/>
                <w:u w:val="single"/>
              </w:rPr>
              <w:tab/>
            </w:r>
          </w:p>
          <w:p w14:paraId="30EBA7E8" w14:textId="77777777" w:rsidR="00B911E1" w:rsidRDefault="00130E27">
            <w:pPr>
              <w:pStyle w:val="TableParagraph"/>
              <w:tabs>
                <w:tab w:val="left" w:pos="4941"/>
                <w:tab w:val="left" w:pos="7430"/>
              </w:tabs>
              <w:spacing w:before="103"/>
            </w:pPr>
            <w:r>
              <w:t>ENDORSEMENT #</w:t>
            </w:r>
            <w:r>
              <w:rPr>
                <w:u w:val="single"/>
              </w:rPr>
              <w:t xml:space="preserve"> </w:t>
            </w:r>
            <w:r>
              <w:rPr>
                <w:u w:val="single"/>
              </w:rPr>
              <w:tab/>
            </w:r>
            <w:r>
              <w:t>OR CANCELLATION</w:t>
            </w:r>
            <w:r>
              <w:rPr>
                <w:spacing w:val="-4"/>
              </w:rPr>
              <w:t xml:space="preserve"> </w:t>
            </w:r>
            <w:r>
              <w:rPr>
                <w:sz w:val="24"/>
              </w:rPr>
              <w:t>o</w:t>
            </w:r>
            <w:r>
              <w:rPr>
                <w:sz w:val="24"/>
              </w:rPr>
              <w:tab/>
            </w:r>
            <w:r>
              <w:t>(check if</w:t>
            </w:r>
            <w:r>
              <w:rPr>
                <w:spacing w:val="4"/>
              </w:rPr>
              <w:t xml:space="preserve"> </w:t>
            </w:r>
            <w:r>
              <w:t>cancellation)</w:t>
            </w:r>
          </w:p>
        </w:tc>
      </w:tr>
      <w:tr w:rsidR="00B911E1" w14:paraId="3BC73C22" w14:textId="77777777">
        <w:trPr>
          <w:trHeight w:val="466"/>
        </w:trPr>
        <w:tc>
          <w:tcPr>
            <w:tcW w:w="10416" w:type="dxa"/>
            <w:gridSpan w:val="2"/>
            <w:tcBorders>
              <w:top w:val="nil"/>
              <w:bottom w:val="nil"/>
            </w:tcBorders>
          </w:tcPr>
          <w:p w14:paraId="08A1A1C2" w14:textId="77777777" w:rsidR="00B911E1" w:rsidRDefault="00130E27">
            <w:pPr>
              <w:pStyle w:val="TableParagraph"/>
              <w:tabs>
                <w:tab w:val="left" w:pos="4782"/>
                <w:tab w:val="left" w:pos="9270"/>
              </w:tabs>
              <w:spacing w:before="53"/>
              <w:rPr>
                <w:sz w:val="24"/>
              </w:rPr>
            </w:pPr>
            <w:r>
              <w:rPr>
                <w:sz w:val="24"/>
              </w:rPr>
              <w:t>COMPANY</w:t>
            </w:r>
            <w:r>
              <w:rPr>
                <w:sz w:val="24"/>
                <w:u w:val="single"/>
              </w:rPr>
              <w:t xml:space="preserve"> </w:t>
            </w:r>
            <w:r>
              <w:rPr>
                <w:sz w:val="24"/>
                <w:u w:val="single"/>
              </w:rPr>
              <w:tab/>
            </w:r>
            <w:r>
              <w:rPr>
                <w:sz w:val="24"/>
              </w:rPr>
              <w:t>POLICY</w:t>
            </w:r>
            <w:r>
              <w:rPr>
                <w:spacing w:val="-4"/>
                <w:sz w:val="24"/>
              </w:rPr>
              <w:t xml:space="preserve"> </w:t>
            </w:r>
            <w:proofErr w:type="gramStart"/>
            <w:r>
              <w:rPr>
                <w:sz w:val="24"/>
              </w:rPr>
              <w:t>#</w:t>
            </w:r>
            <w:r>
              <w:rPr>
                <w:spacing w:val="-28"/>
                <w:sz w:val="24"/>
              </w:rPr>
              <w:t xml:space="preserve"> </w:t>
            </w:r>
            <w:r>
              <w:rPr>
                <w:sz w:val="24"/>
                <w:u w:val="single"/>
              </w:rPr>
              <w:t xml:space="preserve"> </w:t>
            </w:r>
            <w:r>
              <w:rPr>
                <w:sz w:val="24"/>
                <w:u w:val="single"/>
              </w:rPr>
              <w:tab/>
            </w:r>
            <w:proofErr w:type="gramEnd"/>
          </w:p>
        </w:tc>
      </w:tr>
      <w:tr w:rsidR="00B911E1" w14:paraId="205BA7EB" w14:textId="77777777">
        <w:trPr>
          <w:trHeight w:val="894"/>
        </w:trPr>
        <w:tc>
          <w:tcPr>
            <w:tcW w:w="10416" w:type="dxa"/>
            <w:gridSpan w:val="2"/>
            <w:tcBorders>
              <w:top w:val="nil"/>
              <w:bottom w:val="nil"/>
            </w:tcBorders>
          </w:tcPr>
          <w:p w14:paraId="655AC814" w14:textId="77777777" w:rsidR="00B911E1" w:rsidRDefault="00130E27">
            <w:pPr>
              <w:pStyle w:val="TableParagraph"/>
              <w:tabs>
                <w:tab w:val="left" w:pos="2538"/>
                <w:tab w:val="left" w:pos="4782"/>
                <w:tab w:val="left" w:pos="9270"/>
              </w:tabs>
              <w:spacing w:before="129"/>
              <w:rPr>
                <w:sz w:val="24"/>
              </w:rPr>
            </w:pPr>
            <w:r>
              <w:rPr>
                <w:sz w:val="24"/>
              </w:rPr>
              <w:t>EFFECTIVE</w:t>
            </w:r>
            <w:r>
              <w:rPr>
                <w:spacing w:val="-1"/>
                <w:sz w:val="24"/>
              </w:rPr>
              <w:t xml:space="preserve"> </w:t>
            </w:r>
            <w:r>
              <w:rPr>
                <w:sz w:val="24"/>
              </w:rPr>
              <w:t>DATE</w:t>
            </w:r>
            <w:r>
              <w:rPr>
                <w:sz w:val="24"/>
              </w:rPr>
              <w:tab/>
            </w:r>
            <w:r>
              <w:rPr>
                <w:sz w:val="24"/>
                <w:u w:val="single"/>
              </w:rPr>
              <w:t xml:space="preserve"> </w:t>
            </w:r>
            <w:r>
              <w:rPr>
                <w:sz w:val="24"/>
                <w:u w:val="single"/>
              </w:rPr>
              <w:tab/>
            </w:r>
            <w:r>
              <w:rPr>
                <w:sz w:val="24"/>
              </w:rPr>
              <w:t>EXPIRATION</w:t>
            </w:r>
            <w:r>
              <w:rPr>
                <w:spacing w:val="-5"/>
                <w:sz w:val="24"/>
              </w:rPr>
              <w:t xml:space="preserve"> </w:t>
            </w:r>
            <w:r>
              <w:rPr>
                <w:sz w:val="24"/>
              </w:rPr>
              <w:t xml:space="preserve">DATE </w:t>
            </w:r>
            <w:r>
              <w:rPr>
                <w:spacing w:val="1"/>
                <w:sz w:val="24"/>
              </w:rPr>
              <w:t xml:space="preserve"> </w:t>
            </w:r>
            <w:r>
              <w:rPr>
                <w:sz w:val="24"/>
                <w:u w:val="single"/>
              </w:rPr>
              <w:t xml:space="preserve"> </w:t>
            </w:r>
            <w:r>
              <w:rPr>
                <w:sz w:val="24"/>
                <w:u w:val="single"/>
              </w:rPr>
              <w:tab/>
            </w:r>
          </w:p>
          <w:p w14:paraId="66BA9E66" w14:textId="7BF3595F" w:rsidR="00B911E1" w:rsidRDefault="00130E27">
            <w:pPr>
              <w:pStyle w:val="TableParagraph"/>
              <w:tabs>
                <w:tab w:val="left" w:pos="7690"/>
              </w:tabs>
              <w:spacing w:before="136"/>
              <w:ind w:left="3038"/>
              <w:rPr>
                <w:sz w:val="20"/>
              </w:rPr>
            </w:pPr>
            <w:r>
              <w:rPr>
                <w:sz w:val="20"/>
              </w:rPr>
              <w:t>EX:01/01/201</w:t>
            </w:r>
            <w:r w:rsidR="00C269B9">
              <w:rPr>
                <w:sz w:val="20"/>
              </w:rPr>
              <w:t>9</w:t>
            </w:r>
            <w:r>
              <w:rPr>
                <w:sz w:val="20"/>
              </w:rPr>
              <w:tab/>
              <w:t>EX:01/01/20</w:t>
            </w:r>
            <w:r w:rsidR="00C269B9">
              <w:rPr>
                <w:sz w:val="20"/>
              </w:rPr>
              <w:t>20</w:t>
            </w:r>
          </w:p>
        </w:tc>
      </w:tr>
      <w:tr w:rsidR="00B911E1" w14:paraId="61128417" w14:textId="77777777">
        <w:trPr>
          <w:trHeight w:val="727"/>
        </w:trPr>
        <w:tc>
          <w:tcPr>
            <w:tcW w:w="10416" w:type="dxa"/>
            <w:gridSpan w:val="2"/>
            <w:tcBorders>
              <w:top w:val="nil"/>
              <w:bottom w:val="nil"/>
            </w:tcBorders>
          </w:tcPr>
          <w:p w14:paraId="77459552" w14:textId="77777777" w:rsidR="00B911E1" w:rsidRDefault="00130E27">
            <w:pPr>
              <w:pStyle w:val="TableParagraph"/>
              <w:tabs>
                <w:tab w:val="left" w:pos="6278"/>
                <w:tab w:val="left" w:pos="9270"/>
              </w:tabs>
              <w:spacing w:before="115"/>
              <w:rPr>
                <w:sz w:val="24"/>
              </w:rPr>
            </w:pPr>
            <w:r>
              <w:rPr>
                <w:sz w:val="24"/>
              </w:rPr>
              <w:t>ENDORSEMENT/CANCELLATION EFFECTIVE</w:t>
            </w:r>
            <w:r>
              <w:rPr>
                <w:spacing w:val="-17"/>
                <w:sz w:val="24"/>
              </w:rPr>
              <w:t xml:space="preserve"> </w:t>
            </w:r>
            <w:r>
              <w:rPr>
                <w:sz w:val="24"/>
              </w:rPr>
              <w:t>DATE*</w:t>
            </w:r>
            <w:r>
              <w:rPr>
                <w:sz w:val="24"/>
              </w:rPr>
              <w:tab/>
            </w:r>
            <w:r>
              <w:rPr>
                <w:sz w:val="24"/>
                <w:u w:val="single"/>
              </w:rPr>
              <w:t xml:space="preserve"> </w:t>
            </w:r>
            <w:r>
              <w:rPr>
                <w:sz w:val="24"/>
                <w:u w:val="single"/>
              </w:rPr>
              <w:tab/>
            </w:r>
          </w:p>
          <w:p w14:paraId="437E5869" w14:textId="26D7A9E7" w:rsidR="00B911E1" w:rsidRDefault="00130E27">
            <w:pPr>
              <w:pStyle w:val="TableParagraph"/>
              <w:spacing w:before="2"/>
              <w:ind w:left="0" w:right="2138"/>
              <w:jc w:val="right"/>
              <w:rPr>
                <w:sz w:val="20"/>
              </w:rPr>
            </w:pPr>
            <w:r>
              <w:rPr>
                <w:w w:val="95"/>
                <w:sz w:val="20"/>
              </w:rPr>
              <w:t>EX:05/01/20</w:t>
            </w:r>
            <w:r w:rsidR="00C269B9">
              <w:rPr>
                <w:w w:val="95"/>
                <w:sz w:val="20"/>
              </w:rPr>
              <w:t>19</w:t>
            </w:r>
          </w:p>
        </w:tc>
      </w:tr>
      <w:tr w:rsidR="00B911E1" w14:paraId="6B34AB46" w14:textId="77777777">
        <w:trPr>
          <w:trHeight w:val="6642"/>
        </w:trPr>
        <w:tc>
          <w:tcPr>
            <w:tcW w:w="10416" w:type="dxa"/>
            <w:gridSpan w:val="2"/>
            <w:tcBorders>
              <w:top w:val="nil"/>
            </w:tcBorders>
          </w:tcPr>
          <w:p w14:paraId="1E625F4B" w14:textId="77777777" w:rsidR="00B911E1" w:rsidRDefault="00130E27">
            <w:pPr>
              <w:pStyle w:val="TableParagraph"/>
              <w:spacing w:before="96"/>
              <w:rPr>
                <w:sz w:val="24"/>
              </w:rPr>
            </w:pPr>
            <w:r>
              <w:rPr>
                <w:b/>
                <w:sz w:val="24"/>
              </w:rPr>
              <w:t xml:space="preserve">* </w:t>
            </w:r>
            <w:r>
              <w:rPr>
                <w:sz w:val="24"/>
              </w:rPr>
              <w:t>Enter the day prior to effective date of policy for a flat cancellation of the policy</w:t>
            </w:r>
          </w:p>
          <w:p w14:paraId="56FCAE83" w14:textId="77777777" w:rsidR="00C269B9" w:rsidRDefault="00130E27" w:rsidP="00C269B9">
            <w:pPr>
              <w:pStyle w:val="Default"/>
            </w:pPr>
            <w:r>
              <w:rPr>
                <w:b/>
              </w:rPr>
              <w:t>NOTICE: Under Montana law, inspection fees for the actual cost of inspecting the risk to be covered may be charged. Other fees, such as placement fees, are not permitted.</w:t>
            </w:r>
            <w:r w:rsidR="00C269B9">
              <w:rPr>
                <w:b/>
              </w:rPr>
              <w:t xml:space="preserve">  </w:t>
            </w:r>
          </w:p>
          <w:p w14:paraId="635DAFE3" w14:textId="1C3192F3" w:rsidR="00C269B9" w:rsidRPr="00C269B9" w:rsidRDefault="00C269B9" w:rsidP="00C269B9">
            <w:pPr>
              <w:pStyle w:val="Default"/>
              <w:rPr>
                <w:b/>
                <w:bCs/>
              </w:rPr>
            </w:pPr>
            <w:r w:rsidRPr="00C269B9">
              <w:rPr>
                <w:b/>
                <w:bCs/>
              </w:rPr>
              <w:t>Effective on July 1, 2015, Montana law allows the surplus lines agent to charge up to a $50 tax free fee for personal lines and up to a $100 tax free fee for commercial lines for new and renewal business. Inspection fees for the actual cost of inspecting the risk to be reported on the line above.</w:t>
            </w:r>
          </w:p>
          <w:p w14:paraId="5DD186C1" w14:textId="44C3DDDD" w:rsidR="00B911E1" w:rsidRDefault="00130E27">
            <w:pPr>
              <w:pStyle w:val="TableParagraph"/>
              <w:tabs>
                <w:tab w:val="left" w:pos="5903"/>
                <w:tab w:val="left" w:pos="8147"/>
              </w:tabs>
              <w:spacing w:line="250" w:lineRule="exact"/>
              <w:ind w:left="1377"/>
              <w:rPr>
                <w:rFonts w:ascii="Times New Roman"/>
                <w:u w:val="single"/>
              </w:rPr>
            </w:pPr>
            <w:r>
              <w:rPr>
                <w:b/>
              </w:rPr>
              <w:t xml:space="preserve">PREMIUM </w:t>
            </w:r>
            <w:r w:rsidR="00C269B9">
              <w:rPr>
                <w:b/>
              </w:rPr>
              <w:t xml:space="preserve"> </w:t>
            </w:r>
            <w:r w:rsidR="00C269B9" w:rsidRPr="00C269B9">
              <w:rPr>
                <w:bCs/>
                <w:sz w:val="20"/>
                <w:szCs w:val="20"/>
              </w:rPr>
              <w:t>Additional Premium</w:t>
            </w:r>
            <w:r w:rsidR="00C269B9">
              <w:rPr>
                <w:b/>
              </w:rPr>
              <w:t xml:space="preserve">    </w:t>
            </w:r>
            <w:r>
              <w:rPr>
                <w:b/>
              </w:rPr>
              <w:tab/>
            </w:r>
            <w:r>
              <w:rPr>
                <w:rFonts w:ascii="Times New Roman"/>
                <w:u w:val="single"/>
              </w:rPr>
              <w:t xml:space="preserve"> </w:t>
            </w:r>
            <w:bookmarkStart w:id="0" w:name="_GoBack"/>
            <w:bookmarkEnd w:id="0"/>
            <w:r>
              <w:rPr>
                <w:rFonts w:ascii="Times New Roman"/>
                <w:u w:val="single"/>
              </w:rPr>
              <w:tab/>
            </w:r>
          </w:p>
          <w:p w14:paraId="71FED205" w14:textId="2195269C" w:rsidR="00C269B9" w:rsidRPr="00C269B9" w:rsidRDefault="00C269B9">
            <w:pPr>
              <w:pStyle w:val="TableParagraph"/>
              <w:tabs>
                <w:tab w:val="left" w:pos="5903"/>
                <w:tab w:val="left" w:pos="8147"/>
              </w:tabs>
              <w:spacing w:line="250" w:lineRule="exact"/>
              <w:ind w:left="1377"/>
              <w:rPr>
                <w:sz w:val="20"/>
                <w:szCs w:val="20"/>
              </w:rPr>
            </w:pPr>
            <w:r>
              <w:rPr>
                <w:rFonts w:ascii="Times New Roman"/>
              </w:rPr>
              <w:t xml:space="preserve">                     (</w:t>
            </w:r>
            <w:r w:rsidRPr="00C269B9">
              <w:rPr>
                <w:sz w:val="20"/>
                <w:szCs w:val="20"/>
              </w:rPr>
              <w:t xml:space="preserve">Return </w:t>
            </w:r>
            <w:proofErr w:type="gramStart"/>
            <w:r w:rsidRPr="00C269B9">
              <w:rPr>
                <w:sz w:val="20"/>
                <w:szCs w:val="20"/>
              </w:rPr>
              <w:t>Premium</w:t>
            </w:r>
            <w:r>
              <w:rPr>
                <w:sz w:val="20"/>
                <w:szCs w:val="20"/>
              </w:rPr>
              <w:t>)</w:t>
            </w:r>
            <w:r w:rsidRPr="00C269B9">
              <w:rPr>
                <w:sz w:val="20"/>
                <w:szCs w:val="20"/>
              </w:rPr>
              <w:t xml:space="preserve">   </w:t>
            </w:r>
            <w:proofErr w:type="gramEnd"/>
            <w:r w:rsidRPr="00C269B9">
              <w:rPr>
                <w:sz w:val="20"/>
                <w:szCs w:val="20"/>
              </w:rPr>
              <w:t xml:space="preserve">  </w:t>
            </w:r>
            <w:r>
              <w:rPr>
                <w:sz w:val="20"/>
                <w:szCs w:val="20"/>
              </w:rPr>
              <w:t xml:space="preserve">                           ____________________ </w:t>
            </w:r>
          </w:p>
          <w:p w14:paraId="045BF7A8" w14:textId="77777777" w:rsidR="00B911E1" w:rsidRDefault="00130E27">
            <w:pPr>
              <w:pStyle w:val="TableParagraph"/>
              <w:tabs>
                <w:tab w:val="left" w:pos="5903"/>
                <w:tab w:val="left" w:pos="8147"/>
              </w:tabs>
              <w:spacing w:before="120"/>
              <w:ind w:left="1415"/>
              <w:rPr>
                <w:rFonts w:ascii="Times New Roman"/>
              </w:rPr>
            </w:pPr>
            <w:r>
              <w:rPr>
                <w:b/>
              </w:rPr>
              <w:t>FIRE</w:t>
            </w:r>
            <w:r>
              <w:rPr>
                <w:b/>
                <w:spacing w:val="-4"/>
              </w:rPr>
              <w:t xml:space="preserve"> </w:t>
            </w:r>
            <w:r>
              <w:rPr>
                <w:b/>
              </w:rPr>
              <w:t>PREMIUM</w:t>
            </w:r>
            <w:r>
              <w:rPr>
                <w:b/>
              </w:rPr>
              <w:tab/>
            </w:r>
            <w:r>
              <w:rPr>
                <w:rFonts w:ascii="Times New Roman"/>
                <w:u w:val="single"/>
              </w:rPr>
              <w:t xml:space="preserve"> </w:t>
            </w:r>
            <w:r>
              <w:rPr>
                <w:rFonts w:ascii="Times New Roman"/>
                <w:u w:val="single"/>
              </w:rPr>
              <w:tab/>
            </w:r>
          </w:p>
          <w:p w14:paraId="57389177" w14:textId="77777777" w:rsidR="00B911E1" w:rsidRDefault="00B911E1">
            <w:pPr>
              <w:pStyle w:val="TableParagraph"/>
              <w:spacing w:before="4"/>
              <w:ind w:left="0"/>
              <w:rPr>
                <w:rFonts w:ascii="Times New Roman"/>
                <w:sz w:val="21"/>
              </w:rPr>
            </w:pPr>
          </w:p>
          <w:p w14:paraId="30316D3B" w14:textId="77777777" w:rsidR="00B911E1" w:rsidRDefault="00130E27">
            <w:pPr>
              <w:pStyle w:val="TableParagraph"/>
              <w:tabs>
                <w:tab w:val="left" w:pos="5903"/>
                <w:tab w:val="left" w:pos="8147"/>
              </w:tabs>
              <w:spacing w:before="1"/>
              <w:ind w:left="1415"/>
              <w:rPr>
                <w:rFonts w:ascii="Times New Roman"/>
              </w:rPr>
            </w:pPr>
            <w:r>
              <w:rPr>
                <w:b/>
              </w:rPr>
              <w:t>INSPECTION</w:t>
            </w:r>
            <w:r>
              <w:rPr>
                <w:b/>
                <w:spacing w:val="-3"/>
              </w:rPr>
              <w:t xml:space="preserve"> </w:t>
            </w:r>
            <w:r>
              <w:rPr>
                <w:b/>
              </w:rPr>
              <w:t>FEE</w:t>
            </w:r>
            <w:r>
              <w:rPr>
                <w:b/>
              </w:rPr>
              <w:tab/>
            </w:r>
            <w:r>
              <w:rPr>
                <w:rFonts w:ascii="Times New Roman"/>
                <w:u w:val="single"/>
              </w:rPr>
              <w:t xml:space="preserve"> </w:t>
            </w:r>
            <w:r>
              <w:rPr>
                <w:rFonts w:ascii="Times New Roman"/>
                <w:u w:val="single"/>
              </w:rPr>
              <w:tab/>
            </w:r>
          </w:p>
          <w:p w14:paraId="73383298" w14:textId="77777777" w:rsidR="00B911E1" w:rsidRDefault="00B911E1">
            <w:pPr>
              <w:pStyle w:val="TableParagraph"/>
              <w:spacing w:before="4"/>
              <w:ind w:left="0"/>
              <w:rPr>
                <w:rFonts w:ascii="Times New Roman"/>
                <w:sz w:val="21"/>
              </w:rPr>
            </w:pPr>
          </w:p>
          <w:p w14:paraId="4DF9D9F8" w14:textId="77777777" w:rsidR="00B911E1" w:rsidRDefault="00130E27">
            <w:pPr>
              <w:pStyle w:val="TableParagraph"/>
              <w:tabs>
                <w:tab w:val="left" w:pos="5903"/>
                <w:tab w:val="left" w:pos="8147"/>
              </w:tabs>
              <w:ind w:left="1415"/>
              <w:rPr>
                <w:rFonts w:ascii="Times New Roman"/>
              </w:rPr>
            </w:pPr>
            <w:r>
              <w:rPr>
                <w:b/>
              </w:rPr>
              <w:t>PREMIUM TAX</w:t>
            </w:r>
            <w:r>
              <w:rPr>
                <w:b/>
                <w:spacing w:val="-6"/>
              </w:rPr>
              <w:t xml:space="preserve"> </w:t>
            </w:r>
            <w:r>
              <w:rPr>
                <w:b/>
              </w:rPr>
              <w:t>0.0275%</w:t>
            </w:r>
            <w:r>
              <w:rPr>
                <w:b/>
              </w:rPr>
              <w:tab/>
            </w:r>
            <w:r>
              <w:rPr>
                <w:rFonts w:ascii="Times New Roman"/>
                <w:u w:val="single"/>
              </w:rPr>
              <w:t xml:space="preserve"> </w:t>
            </w:r>
            <w:r>
              <w:rPr>
                <w:rFonts w:ascii="Times New Roman"/>
                <w:u w:val="single"/>
              </w:rPr>
              <w:tab/>
            </w:r>
          </w:p>
          <w:p w14:paraId="052BD68A" w14:textId="77777777" w:rsidR="00B911E1" w:rsidRDefault="00B911E1">
            <w:pPr>
              <w:pStyle w:val="TableParagraph"/>
              <w:spacing w:before="5"/>
              <w:ind w:left="0"/>
              <w:rPr>
                <w:rFonts w:ascii="Times New Roman"/>
                <w:sz w:val="21"/>
              </w:rPr>
            </w:pPr>
          </w:p>
          <w:p w14:paraId="7DD21EA2" w14:textId="77777777" w:rsidR="00B911E1" w:rsidRDefault="00130E27">
            <w:pPr>
              <w:pStyle w:val="TableParagraph"/>
              <w:tabs>
                <w:tab w:val="left" w:pos="5903"/>
                <w:tab w:val="left" w:pos="8147"/>
              </w:tabs>
              <w:ind w:left="1415"/>
              <w:rPr>
                <w:rFonts w:ascii="Times New Roman"/>
              </w:rPr>
            </w:pPr>
            <w:r>
              <w:rPr>
                <w:b/>
              </w:rPr>
              <w:t xml:space="preserve">FIRE </w:t>
            </w:r>
            <w:r>
              <w:rPr>
                <w:b/>
                <w:spacing w:val="-3"/>
              </w:rPr>
              <w:t>TAX</w:t>
            </w:r>
            <w:r>
              <w:rPr>
                <w:b/>
                <w:spacing w:val="3"/>
              </w:rPr>
              <w:t xml:space="preserve"> </w:t>
            </w:r>
            <w:r>
              <w:rPr>
                <w:b/>
              </w:rPr>
              <w:t>0.025%</w:t>
            </w:r>
            <w:r>
              <w:rPr>
                <w:b/>
              </w:rPr>
              <w:tab/>
            </w:r>
            <w:r>
              <w:rPr>
                <w:rFonts w:ascii="Times New Roman"/>
                <w:u w:val="single"/>
              </w:rPr>
              <w:t xml:space="preserve"> </w:t>
            </w:r>
            <w:r>
              <w:rPr>
                <w:rFonts w:ascii="Times New Roman"/>
                <w:u w:val="single"/>
              </w:rPr>
              <w:tab/>
            </w:r>
          </w:p>
          <w:p w14:paraId="00EE1707" w14:textId="77777777" w:rsidR="00B911E1" w:rsidRDefault="00B911E1">
            <w:pPr>
              <w:pStyle w:val="TableParagraph"/>
              <w:spacing w:before="5"/>
              <w:ind w:left="0"/>
              <w:rPr>
                <w:rFonts w:ascii="Times New Roman"/>
                <w:sz w:val="21"/>
              </w:rPr>
            </w:pPr>
          </w:p>
          <w:p w14:paraId="48F629DB" w14:textId="77777777" w:rsidR="00B911E1" w:rsidRDefault="00130E27">
            <w:pPr>
              <w:pStyle w:val="TableParagraph"/>
              <w:ind w:left="1415"/>
              <w:rPr>
                <w:b/>
              </w:rPr>
            </w:pPr>
            <w:r>
              <w:rPr>
                <w:b/>
              </w:rPr>
              <w:t>STAMPING FEE 0.0% if filed electronically</w:t>
            </w:r>
          </w:p>
          <w:p w14:paraId="26B086E2" w14:textId="77777777" w:rsidR="00B911E1" w:rsidRDefault="00B911E1">
            <w:pPr>
              <w:pStyle w:val="TableParagraph"/>
              <w:ind w:left="0"/>
              <w:rPr>
                <w:rFonts w:ascii="Times New Roman"/>
                <w:sz w:val="24"/>
              </w:rPr>
            </w:pPr>
          </w:p>
          <w:p w14:paraId="5D33669D" w14:textId="77777777" w:rsidR="00B911E1" w:rsidRDefault="00130E27">
            <w:pPr>
              <w:pStyle w:val="TableParagraph"/>
              <w:tabs>
                <w:tab w:val="left" w:pos="3846"/>
                <w:tab w:val="left" w:pos="8147"/>
              </w:tabs>
              <w:spacing w:before="179"/>
              <w:rPr>
                <w:b/>
              </w:rPr>
            </w:pPr>
            <w:r>
              <w:t>SURPLUS</w:t>
            </w:r>
            <w:r>
              <w:rPr>
                <w:spacing w:val="-3"/>
              </w:rPr>
              <w:t xml:space="preserve"> </w:t>
            </w:r>
            <w:r>
              <w:t>LINES</w:t>
            </w:r>
            <w:r>
              <w:rPr>
                <w:spacing w:val="-3"/>
              </w:rPr>
              <w:t xml:space="preserve"> </w:t>
            </w:r>
            <w:r>
              <w:t>PRODUCER:</w:t>
            </w:r>
            <w:r>
              <w:tab/>
            </w:r>
            <w:r>
              <w:rPr>
                <w:u w:val="single"/>
              </w:rPr>
              <w:t xml:space="preserve"> </w:t>
            </w:r>
            <w:r>
              <w:rPr>
                <w:u w:val="single"/>
              </w:rPr>
              <w:tab/>
            </w:r>
            <w:r>
              <w:rPr>
                <w:b/>
              </w:rPr>
              <w:t>SL</w:t>
            </w:r>
            <w:r>
              <w:rPr>
                <w:b/>
                <w:spacing w:val="-1"/>
              </w:rPr>
              <w:t xml:space="preserve"> </w:t>
            </w:r>
            <w:r>
              <w:rPr>
                <w:b/>
              </w:rPr>
              <w:t>PRODUCER</w:t>
            </w:r>
          </w:p>
          <w:p w14:paraId="17F47F10" w14:textId="77777777" w:rsidR="00B911E1" w:rsidRDefault="00130E27">
            <w:pPr>
              <w:pStyle w:val="TableParagraph"/>
              <w:tabs>
                <w:tab w:val="left" w:pos="8147"/>
              </w:tabs>
              <w:spacing w:before="61"/>
              <w:ind w:left="3847"/>
              <w:rPr>
                <w:b/>
              </w:rPr>
            </w:pPr>
            <w:r>
              <w:rPr>
                <w:rFonts w:ascii="Times New Roman"/>
                <w:u w:val="single"/>
              </w:rPr>
              <w:t xml:space="preserve"> </w:t>
            </w:r>
            <w:r>
              <w:rPr>
                <w:rFonts w:ascii="Times New Roman"/>
                <w:u w:val="single"/>
              </w:rPr>
              <w:tab/>
            </w:r>
            <w:r>
              <w:rPr>
                <w:rFonts w:ascii="Times New Roman"/>
              </w:rPr>
              <w:t xml:space="preserve">   </w:t>
            </w:r>
            <w:r>
              <w:rPr>
                <w:rFonts w:ascii="Times New Roman"/>
                <w:spacing w:val="-21"/>
              </w:rPr>
              <w:t xml:space="preserve"> </w:t>
            </w:r>
            <w:r>
              <w:rPr>
                <w:b/>
              </w:rPr>
              <w:t>AGENCY</w:t>
            </w:r>
            <w:r>
              <w:rPr>
                <w:b/>
                <w:spacing w:val="-1"/>
              </w:rPr>
              <w:t xml:space="preserve"> </w:t>
            </w:r>
            <w:r>
              <w:rPr>
                <w:b/>
              </w:rPr>
              <w:t>NAME</w:t>
            </w:r>
          </w:p>
          <w:p w14:paraId="19BB3D1D" w14:textId="77777777" w:rsidR="00B911E1" w:rsidRDefault="00130E27">
            <w:pPr>
              <w:pStyle w:val="TableParagraph"/>
              <w:tabs>
                <w:tab w:val="left" w:pos="8147"/>
              </w:tabs>
              <w:spacing w:before="59"/>
              <w:ind w:left="3847"/>
              <w:rPr>
                <w:b/>
              </w:rPr>
            </w:pPr>
            <w:r>
              <w:rPr>
                <w:rFonts w:ascii="Times New Roman"/>
                <w:u w:val="single"/>
              </w:rPr>
              <w:t xml:space="preserve"> </w:t>
            </w:r>
            <w:r>
              <w:rPr>
                <w:rFonts w:ascii="Times New Roman"/>
                <w:u w:val="single"/>
              </w:rPr>
              <w:tab/>
            </w:r>
            <w:r>
              <w:rPr>
                <w:rFonts w:ascii="Times New Roman"/>
              </w:rPr>
              <w:t xml:space="preserve">  </w:t>
            </w:r>
            <w:r>
              <w:rPr>
                <w:rFonts w:ascii="Times New Roman"/>
                <w:spacing w:val="19"/>
              </w:rPr>
              <w:t xml:space="preserve"> </w:t>
            </w:r>
            <w:r>
              <w:rPr>
                <w:b/>
              </w:rPr>
              <w:t>ADDRESS</w:t>
            </w:r>
          </w:p>
          <w:p w14:paraId="3F245322" w14:textId="77777777" w:rsidR="00B911E1" w:rsidRDefault="00130E27">
            <w:pPr>
              <w:pStyle w:val="TableParagraph"/>
              <w:tabs>
                <w:tab w:val="left" w:pos="8147"/>
              </w:tabs>
              <w:spacing w:before="62"/>
              <w:ind w:left="3847"/>
              <w:rPr>
                <w:b/>
              </w:rPr>
            </w:pPr>
            <w:r>
              <w:rPr>
                <w:rFonts w:ascii="Times New Roman"/>
                <w:u w:val="single"/>
              </w:rPr>
              <w:t xml:space="preserve"> </w:t>
            </w:r>
            <w:r>
              <w:rPr>
                <w:rFonts w:ascii="Times New Roman"/>
                <w:u w:val="single"/>
              </w:rPr>
              <w:tab/>
            </w:r>
            <w:r>
              <w:rPr>
                <w:rFonts w:ascii="Times New Roman"/>
              </w:rPr>
              <w:t xml:space="preserve">  </w:t>
            </w:r>
            <w:r>
              <w:rPr>
                <w:rFonts w:ascii="Times New Roman"/>
                <w:spacing w:val="22"/>
              </w:rPr>
              <w:t xml:space="preserve"> </w:t>
            </w:r>
            <w:r>
              <w:rPr>
                <w:b/>
              </w:rPr>
              <w:t>CITY/ST/ZIP</w:t>
            </w:r>
          </w:p>
          <w:p w14:paraId="6F9611C5" w14:textId="77777777" w:rsidR="00B911E1" w:rsidRDefault="00130E27">
            <w:pPr>
              <w:pStyle w:val="TableParagraph"/>
              <w:tabs>
                <w:tab w:val="left" w:pos="5157"/>
                <w:tab w:val="left" w:pos="9270"/>
              </w:tabs>
              <w:spacing w:before="61"/>
            </w:pPr>
            <w:r>
              <w:t>SURPLUS LINES INDIVIDUAL LICENSE</w:t>
            </w:r>
            <w:r>
              <w:rPr>
                <w:spacing w:val="-13"/>
              </w:rPr>
              <w:t xml:space="preserve"> </w:t>
            </w:r>
            <w:r>
              <w:t>NO.</w:t>
            </w:r>
            <w:r>
              <w:tab/>
            </w:r>
            <w:r>
              <w:rPr>
                <w:u w:val="single"/>
              </w:rPr>
              <w:t xml:space="preserve"> </w:t>
            </w:r>
            <w:r>
              <w:rPr>
                <w:u w:val="single"/>
              </w:rPr>
              <w:tab/>
            </w:r>
          </w:p>
        </w:tc>
      </w:tr>
      <w:tr w:rsidR="00B911E1" w14:paraId="52B796EF" w14:textId="77777777">
        <w:trPr>
          <w:trHeight w:val="265"/>
        </w:trPr>
        <w:tc>
          <w:tcPr>
            <w:tcW w:w="2234" w:type="dxa"/>
            <w:tcBorders>
              <w:bottom w:val="single" w:sz="8" w:space="0" w:color="000000"/>
              <w:right w:val="single" w:sz="34" w:space="0" w:color="C1C1C1"/>
            </w:tcBorders>
            <w:shd w:val="clear" w:color="auto" w:fill="E7E7E7"/>
          </w:tcPr>
          <w:p w14:paraId="5E9B8E3F" w14:textId="77777777" w:rsidR="00B911E1" w:rsidRDefault="00130E27">
            <w:pPr>
              <w:pStyle w:val="TableParagraph"/>
              <w:spacing w:line="223" w:lineRule="exact"/>
              <w:ind w:right="-101"/>
              <w:rPr>
                <w:i/>
                <w:sz w:val="24"/>
              </w:rPr>
            </w:pPr>
            <w:r>
              <w:rPr>
                <w:i/>
                <w:sz w:val="24"/>
              </w:rPr>
              <w:t>For Office Use</w:t>
            </w:r>
            <w:r>
              <w:rPr>
                <w:i/>
                <w:spacing w:val="-5"/>
                <w:sz w:val="24"/>
              </w:rPr>
              <w:t xml:space="preserve"> </w:t>
            </w:r>
            <w:r>
              <w:rPr>
                <w:i/>
                <w:sz w:val="24"/>
              </w:rPr>
              <w:t>Only:</w:t>
            </w:r>
          </w:p>
        </w:tc>
        <w:tc>
          <w:tcPr>
            <w:tcW w:w="8182" w:type="dxa"/>
            <w:tcBorders>
              <w:left w:val="single" w:sz="34" w:space="0" w:color="C1C1C1"/>
              <w:bottom w:val="nil"/>
            </w:tcBorders>
            <w:shd w:val="clear" w:color="auto" w:fill="E7E7E7"/>
          </w:tcPr>
          <w:p w14:paraId="10ACDD6F" w14:textId="77777777" w:rsidR="00B911E1" w:rsidRDefault="00B911E1">
            <w:pPr>
              <w:pStyle w:val="TableParagraph"/>
              <w:ind w:left="0"/>
              <w:rPr>
                <w:rFonts w:ascii="Times New Roman"/>
                <w:sz w:val="18"/>
              </w:rPr>
            </w:pPr>
          </w:p>
        </w:tc>
      </w:tr>
      <w:tr w:rsidR="00B911E1" w14:paraId="194F2650" w14:textId="77777777">
        <w:trPr>
          <w:trHeight w:val="256"/>
        </w:trPr>
        <w:tc>
          <w:tcPr>
            <w:tcW w:w="10416" w:type="dxa"/>
            <w:gridSpan w:val="2"/>
            <w:tcBorders>
              <w:top w:val="nil"/>
            </w:tcBorders>
            <w:shd w:val="clear" w:color="auto" w:fill="E7E7E7"/>
          </w:tcPr>
          <w:p w14:paraId="68261DB9" w14:textId="77777777" w:rsidR="00B911E1" w:rsidRDefault="00B911E1">
            <w:pPr>
              <w:pStyle w:val="TableParagraph"/>
              <w:ind w:left="0"/>
              <w:rPr>
                <w:rFonts w:ascii="Times New Roman"/>
                <w:sz w:val="20"/>
              </w:rPr>
            </w:pPr>
          </w:p>
        </w:tc>
      </w:tr>
      <w:tr w:rsidR="00B911E1" w14:paraId="49491951" w14:textId="77777777">
        <w:trPr>
          <w:trHeight w:val="239"/>
        </w:trPr>
        <w:tc>
          <w:tcPr>
            <w:tcW w:w="10416" w:type="dxa"/>
            <w:gridSpan w:val="2"/>
          </w:tcPr>
          <w:p w14:paraId="0C7D9851" w14:textId="77777777" w:rsidR="00B911E1" w:rsidRDefault="00130E27">
            <w:pPr>
              <w:pStyle w:val="TableParagraph"/>
              <w:spacing w:line="220" w:lineRule="exact"/>
              <w:rPr>
                <w:sz w:val="20"/>
              </w:rPr>
            </w:pPr>
            <w:r>
              <w:rPr>
                <w:sz w:val="20"/>
              </w:rPr>
              <w:t>Per Montana Code Annotated 33-2-308</w:t>
            </w:r>
          </w:p>
        </w:tc>
      </w:tr>
    </w:tbl>
    <w:p w14:paraId="145D139E" w14:textId="77777777" w:rsidR="00B911E1" w:rsidRDefault="00B911E1">
      <w:pPr>
        <w:spacing w:line="220" w:lineRule="exact"/>
        <w:rPr>
          <w:sz w:val="20"/>
        </w:rPr>
        <w:sectPr w:rsidR="00B911E1">
          <w:type w:val="continuous"/>
          <w:pgSz w:w="12240" w:h="15840"/>
          <w:pgMar w:top="1000" w:right="800" w:bottom="280" w:left="780" w:header="720" w:footer="720" w:gutter="0"/>
          <w:cols w:space="720"/>
        </w:sectPr>
      </w:pPr>
    </w:p>
    <w:p w14:paraId="51C64A0C" w14:textId="77777777" w:rsidR="00B911E1" w:rsidRDefault="00130E27">
      <w:pPr>
        <w:pStyle w:val="BodyText"/>
        <w:spacing w:before="79"/>
        <w:ind w:left="4713" w:right="4692"/>
        <w:jc w:val="center"/>
      </w:pPr>
      <w:r>
        <w:lastRenderedPageBreak/>
        <w:t>APPENDIX</w:t>
      </w:r>
    </w:p>
    <w:p w14:paraId="3F138A4C" w14:textId="77777777" w:rsidR="00B911E1" w:rsidRDefault="00130E27">
      <w:pPr>
        <w:pStyle w:val="BodyText"/>
        <w:ind w:left="3170"/>
      </w:pPr>
      <w:r>
        <w:t>Surplus Lines Definitions 33-2-301, MCA</w:t>
      </w:r>
    </w:p>
    <w:p w14:paraId="6BAD5A93" w14:textId="77777777" w:rsidR="00B911E1" w:rsidRDefault="00B911E1">
      <w:pPr>
        <w:pStyle w:val="BodyText"/>
        <w:ind w:left="0"/>
      </w:pPr>
    </w:p>
    <w:p w14:paraId="7478B8DA" w14:textId="77777777" w:rsidR="00B911E1" w:rsidRDefault="00130E27">
      <w:pPr>
        <w:pStyle w:val="BodyText"/>
        <w:ind w:right="508"/>
      </w:pPr>
      <w:r>
        <w:rPr>
          <w:b/>
        </w:rPr>
        <w:t xml:space="preserve">Authorized insurer </w:t>
      </w:r>
      <w:r>
        <w:t>means an insurer authorized pursuant to 33-2-101 to transact insurance in this state.</w:t>
      </w:r>
    </w:p>
    <w:p w14:paraId="56588259" w14:textId="77777777" w:rsidR="00B911E1" w:rsidRDefault="00B911E1">
      <w:pPr>
        <w:pStyle w:val="BodyText"/>
        <w:ind w:left="0"/>
      </w:pPr>
    </w:p>
    <w:p w14:paraId="1C8D739D" w14:textId="77777777" w:rsidR="00B911E1" w:rsidRDefault="00130E27">
      <w:pPr>
        <w:pStyle w:val="BodyText"/>
        <w:spacing w:before="1"/>
        <w:ind w:left="299" w:right="389"/>
        <w:jc w:val="both"/>
      </w:pPr>
      <w:r>
        <w:rPr>
          <w:b/>
        </w:rPr>
        <w:t xml:space="preserve">Control </w:t>
      </w:r>
      <w:r>
        <w:t>- including the terms "controlled by" and "under common control with", means that: (i) the person directly or indirectly or acting through one or more other persons owns, controls, or has the power to vote 25% or more of any class of voting securities of a business entity; or</w:t>
      </w:r>
    </w:p>
    <w:p w14:paraId="79991B5C" w14:textId="77777777" w:rsidR="00B911E1" w:rsidRDefault="00130E27">
      <w:pPr>
        <w:pStyle w:val="BodyText"/>
        <w:ind w:right="388"/>
      </w:pPr>
      <w:r>
        <w:t xml:space="preserve">(ii) the person controls in any manner the election of </w:t>
      </w:r>
      <w:proofErr w:type="gramStart"/>
      <w:r>
        <w:t>a majority of</w:t>
      </w:r>
      <w:proofErr w:type="gramEnd"/>
      <w:r>
        <w:t xml:space="preserve"> the directors or trustees of a business entity.</w:t>
      </w:r>
    </w:p>
    <w:p w14:paraId="01BB83A6" w14:textId="77777777" w:rsidR="00B911E1" w:rsidRDefault="00B911E1">
      <w:pPr>
        <w:pStyle w:val="BodyText"/>
        <w:spacing w:before="11"/>
        <w:ind w:left="0"/>
        <w:rPr>
          <w:sz w:val="23"/>
        </w:rPr>
      </w:pPr>
    </w:p>
    <w:p w14:paraId="11B62816" w14:textId="77777777" w:rsidR="00B911E1" w:rsidRDefault="00130E27">
      <w:pPr>
        <w:ind w:left="300" w:right="322"/>
        <w:rPr>
          <w:sz w:val="24"/>
        </w:rPr>
      </w:pPr>
      <w:r>
        <w:rPr>
          <w:b/>
          <w:sz w:val="24"/>
        </w:rPr>
        <w:t xml:space="preserve">Eligible Surplus Lines Insurer </w:t>
      </w:r>
      <w:r>
        <w:rPr>
          <w:sz w:val="24"/>
        </w:rPr>
        <w:t>means an unauthorized insurer that is eligible to issue surplus lines insurance under 33-2-307.</w:t>
      </w:r>
    </w:p>
    <w:p w14:paraId="142C90FD" w14:textId="77777777" w:rsidR="00B911E1" w:rsidRDefault="00B911E1">
      <w:pPr>
        <w:pStyle w:val="BodyText"/>
        <w:ind w:left="0"/>
      </w:pPr>
    </w:p>
    <w:p w14:paraId="0CC2FED9" w14:textId="77777777" w:rsidR="00B911E1" w:rsidRDefault="00130E27">
      <w:pPr>
        <w:ind w:left="300" w:right="736"/>
        <w:rPr>
          <w:sz w:val="24"/>
        </w:rPr>
      </w:pPr>
      <w:r>
        <w:rPr>
          <w:b/>
          <w:sz w:val="24"/>
        </w:rPr>
        <w:t xml:space="preserve">Exempt commercial purchaser defined. </w:t>
      </w:r>
      <w:r>
        <w:rPr>
          <w:sz w:val="24"/>
        </w:rPr>
        <w:t>(1) An exempt commercial purchaser means an individual or business entity who at the time of placement:</w:t>
      </w:r>
    </w:p>
    <w:p w14:paraId="2FB78281" w14:textId="77777777" w:rsidR="00B911E1" w:rsidRDefault="00130E27">
      <w:pPr>
        <w:pStyle w:val="ListParagraph"/>
        <w:numPr>
          <w:ilvl w:val="0"/>
          <w:numId w:val="3"/>
        </w:numPr>
        <w:tabs>
          <w:tab w:val="left" w:pos="660"/>
        </w:tabs>
        <w:rPr>
          <w:sz w:val="24"/>
        </w:rPr>
      </w:pPr>
      <w:r>
        <w:rPr>
          <w:sz w:val="24"/>
        </w:rPr>
        <w:t>employs or retains a qualified risk manager to negotiate insurance</w:t>
      </w:r>
      <w:r>
        <w:rPr>
          <w:spacing w:val="-11"/>
          <w:sz w:val="24"/>
        </w:rPr>
        <w:t xml:space="preserve"> </w:t>
      </w:r>
      <w:r>
        <w:rPr>
          <w:sz w:val="24"/>
        </w:rPr>
        <w:t>coverage;</w:t>
      </w:r>
    </w:p>
    <w:p w14:paraId="2E166721" w14:textId="77777777" w:rsidR="00B911E1" w:rsidRDefault="00130E27">
      <w:pPr>
        <w:pStyle w:val="ListParagraph"/>
        <w:numPr>
          <w:ilvl w:val="0"/>
          <w:numId w:val="3"/>
        </w:numPr>
        <w:tabs>
          <w:tab w:val="left" w:pos="660"/>
        </w:tabs>
        <w:ind w:left="300" w:right="593" w:firstLine="0"/>
        <w:rPr>
          <w:sz w:val="24"/>
        </w:rPr>
      </w:pPr>
      <w:r>
        <w:rPr>
          <w:sz w:val="24"/>
        </w:rPr>
        <w:t>has paid aggregate nationwide commercial property and casualty insurance premiums in excess of $100,000 in the immediately preceding 12 months;</w:t>
      </w:r>
      <w:r>
        <w:rPr>
          <w:spacing w:val="-7"/>
          <w:sz w:val="24"/>
        </w:rPr>
        <w:t xml:space="preserve"> </w:t>
      </w:r>
      <w:r>
        <w:rPr>
          <w:sz w:val="24"/>
        </w:rPr>
        <w:t>and</w:t>
      </w:r>
    </w:p>
    <w:p w14:paraId="2C7F35C8" w14:textId="77777777" w:rsidR="00B911E1" w:rsidRDefault="00130E27">
      <w:pPr>
        <w:pStyle w:val="ListParagraph"/>
        <w:numPr>
          <w:ilvl w:val="0"/>
          <w:numId w:val="3"/>
        </w:numPr>
        <w:tabs>
          <w:tab w:val="left" w:pos="646"/>
        </w:tabs>
        <w:ind w:left="645" w:hanging="345"/>
        <w:rPr>
          <w:sz w:val="24"/>
        </w:rPr>
      </w:pPr>
      <w:r>
        <w:rPr>
          <w:sz w:val="24"/>
        </w:rPr>
        <w:t>meets at least one of the following</w:t>
      </w:r>
      <w:r>
        <w:rPr>
          <w:spacing w:val="-8"/>
          <w:sz w:val="24"/>
        </w:rPr>
        <w:t xml:space="preserve"> </w:t>
      </w:r>
      <w:r>
        <w:rPr>
          <w:sz w:val="24"/>
        </w:rPr>
        <w:t>criteria:</w:t>
      </w:r>
    </w:p>
    <w:p w14:paraId="273EF680" w14:textId="77777777" w:rsidR="00B911E1" w:rsidRDefault="00130E27">
      <w:pPr>
        <w:pStyle w:val="ListParagraph"/>
        <w:numPr>
          <w:ilvl w:val="0"/>
          <w:numId w:val="2"/>
        </w:numPr>
        <w:tabs>
          <w:tab w:val="left" w:pos="579"/>
        </w:tabs>
        <w:ind w:right="322" w:firstLine="0"/>
        <w:rPr>
          <w:sz w:val="24"/>
        </w:rPr>
      </w:pPr>
      <w:r>
        <w:rPr>
          <w:sz w:val="24"/>
        </w:rPr>
        <w:t>possesses a net worth in excess of $20 million, as that amount may be adjusted pursuant to subsection (2);</w:t>
      </w:r>
    </w:p>
    <w:p w14:paraId="358352DC" w14:textId="77777777" w:rsidR="00B911E1" w:rsidRDefault="00130E27">
      <w:pPr>
        <w:pStyle w:val="ListParagraph"/>
        <w:numPr>
          <w:ilvl w:val="0"/>
          <w:numId w:val="2"/>
        </w:numPr>
        <w:tabs>
          <w:tab w:val="left" w:pos="632"/>
        </w:tabs>
        <w:ind w:right="1134" w:firstLine="0"/>
        <w:rPr>
          <w:sz w:val="24"/>
        </w:rPr>
      </w:pPr>
      <w:r>
        <w:rPr>
          <w:sz w:val="24"/>
        </w:rPr>
        <w:t>generates annual revenue in excess of $50 million, as that amount may be adjusted pursuant to subsection (2);</w:t>
      </w:r>
    </w:p>
    <w:p w14:paraId="0A0E8AE8" w14:textId="77777777" w:rsidR="00B911E1" w:rsidRDefault="00130E27">
      <w:pPr>
        <w:pStyle w:val="ListParagraph"/>
        <w:numPr>
          <w:ilvl w:val="0"/>
          <w:numId w:val="2"/>
        </w:numPr>
        <w:tabs>
          <w:tab w:val="left" w:pos="684"/>
        </w:tabs>
        <w:ind w:right="362" w:firstLine="0"/>
        <w:rPr>
          <w:sz w:val="24"/>
        </w:rPr>
      </w:pPr>
      <w:r>
        <w:rPr>
          <w:sz w:val="24"/>
        </w:rPr>
        <w:t>employs more than 500 full-time or full-time equivalent employees per individual insured or is a member of an affiliated group employing more than 1,000 employees in the</w:t>
      </w:r>
      <w:r>
        <w:rPr>
          <w:spacing w:val="-28"/>
          <w:sz w:val="24"/>
        </w:rPr>
        <w:t xml:space="preserve"> </w:t>
      </w:r>
      <w:r>
        <w:rPr>
          <w:sz w:val="24"/>
        </w:rPr>
        <w:t>aggregate;</w:t>
      </w:r>
    </w:p>
    <w:p w14:paraId="6AF3969C" w14:textId="77777777" w:rsidR="00B911E1" w:rsidRDefault="00130E27">
      <w:pPr>
        <w:pStyle w:val="ListParagraph"/>
        <w:numPr>
          <w:ilvl w:val="0"/>
          <w:numId w:val="2"/>
        </w:numPr>
        <w:tabs>
          <w:tab w:val="left" w:pos="699"/>
        </w:tabs>
        <w:spacing w:before="1"/>
        <w:ind w:right="521" w:firstLine="0"/>
        <w:rPr>
          <w:sz w:val="24"/>
        </w:rPr>
      </w:pPr>
      <w:r>
        <w:rPr>
          <w:sz w:val="24"/>
        </w:rPr>
        <w:t>is a not-for-profit organization or a public entity generating annual budgeted expenditures of at least $30 million, as that amount may be adjusted pursuant to subsection (2);</w:t>
      </w:r>
      <w:r>
        <w:rPr>
          <w:spacing w:val="-27"/>
          <w:sz w:val="24"/>
        </w:rPr>
        <w:t xml:space="preserve"> </w:t>
      </w:r>
      <w:r>
        <w:rPr>
          <w:sz w:val="24"/>
        </w:rPr>
        <w:t>or</w:t>
      </w:r>
    </w:p>
    <w:p w14:paraId="1DE5BE95" w14:textId="77777777" w:rsidR="00B911E1" w:rsidRDefault="00130E27">
      <w:pPr>
        <w:pStyle w:val="ListParagraph"/>
        <w:numPr>
          <w:ilvl w:val="0"/>
          <w:numId w:val="2"/>
        </w:numPr>
        <w:tabs>
          <w:tab w:val="left" w:pos="646"/>
        </w:tabs>
        <w:ind w:left="645" w:hanging="345"/>
        <w:rPr>
          <w:sz w:val="24"/>
        </w:rPr>
      </w:pPr>
      <w:r>
        <w:rPr>
          <w:sz w:val="24"/>
        </w:rPr>
        <w:t>is a municipality with a population in excess of 50,000</w:t>
      </w:r>
      <w:r>
        <w:rPr>
          <w:spacing w:val="-28"/>
          <w:sz w:val="24"/>
        </w:rPr>
        <w:t xml:space="preserve"> </w:t>
      </w:r>
      <w:r>
        <w:rPr>
          <w:sz w:val="24"/>
        </w:rPr>
        <w:t>persons.</w:t>
      </w:r>
    </w:p>
    <w:p w14:paraId="184628CE" w14:textId="6B986485" w:rsidR="00B911E1" w:rsidRDefault="00130E27" w:rsidP="00C269B9">
      <w:pPr>
        <w:pStyle w:val="BodyText"/>
        <w:ind w:right="267"/>
      </w:pPr>
      <w:r>
        <w:t>(2) Effective January 1, 2015, and on every 5th subsequent January 1, the amounts in subsections (1)(c)(i), (1)(c)(ii), and (1)(c)(iv) must be adjusted to reflect the percentage of change for that 5-year period in the consumer price index for all urban consumers published by the bureau of labor statistics of the United States Department of</w:t>
      </w:r>
      <w:r>
        <w:rPr>
          <w:spacing w:val="-4"/>
        </w:rPr>
        <w:t xml:space="preserve"> </w:t>
      </w:r>
      <w:r w:rsidR="00C269B9">
        <w:t>La</w:t>
      </w:r>
      <w:r w:rsidR="00D4454B">
        <w:t>bor.</w:t>
      </w:r>
    </w:p>
    <w:p w14:paraId="2313EDCC" w14:textId="77777777" w:rsidR="00D4454B" w:rsidRDefault="00D4454B" w:rsidP="00C269B9">
      <w:pPr>
        <w:pStyle w:val="BodyText"/>
        <w:ind w:right="267"/>
      </w:pPr>
    </w:p>
    <w:p w14:paraId="59A301BE" w14:textId="0B739143" w:rsidR="00D4454B" w:rsidRDefault="00D4454B" w:rsidP="00D4454B">
      <w:pPr>
        <w:spacing w:before="63"/>
        <w:ind w:left="288" w:right="288"/>
        <w:rPr>
          <w:sz w:val="24"/>
        </w:rPr>
      </w:pPr>
      <w:r>
        <w:rPr>
          <w:b/>
          <w:sz w:val="24"/>
        </w:rPr>
        <w:t xml:space="preserve">Independently procured insurance </w:t>
      </w:r>
      <w:r>
        <w:rPr>
          <w:sz w:val="24"/>
        </w:rPr>
        <w:t xml:space="preserve">means surplus lines insurance procured directly by an                  insured from an eligible surplus </w:t>
      </w:r>
      <w:proofErr w:type="gramStart"/>
      <w:r>
        <w:rPr>
          <w:sz w:val="24"/>
        </w:rPr>
        <w:t>lines</w:t>
      </w:r>
      <w:proofErr w:type="gramEnd"/>
      <w:r>
        <w:rPr>
          <w:sz w:val="24"/>
        </w:rPr>
        <w:t xml:space="preserve"> insurer.</w:t>
      </w:r>
    </w:p>
    <w:p w14:paraId="12748A34" w14:textId="77777777" w:rsidR="00D4454B" w:rsidRDefault="00D4454B" w:rsidP="00D4454B">
      <w:pPr>
        <w:pStyle w:val="BodyText"/>
        <w:ind w:left="0"/>
      </w:pPr>
    </w:p>
    <w:p w14:paraId="1BE6A085" w14:textId="77777777" w:rsidR="00D4454B" w:rsidRDefault="00D4454B" w:rsidP="00D4454B">
      <w:pPr>
        <w:pStyle w:val="BodyText"/>
        <w:ind w:right="755"/>
      </w:pPr>
      <w:r>
        <w:rPr>
          <w:b/>
        </w:rPr>
        <w:t xml:space="preserve">Principal place of business </w:t>
      </w:r>
      <w:r>
        <w:t>means the state where the insured business maintains its headquarters and where the insured's high-level officers direct, control, and coordinate the business activities of the insured.</w:t>
      </w:r>
    </w:p>
    <w:p w14:paraId="79A8C78F" w14:textId="77777777" w:rsidR="00D4454B" w:rsidRDefault="00D4454B" w:rsidP="00D4454B">
      <w:pPr>
        <w:pStyle w:val="BodyText"/>
        <w:ind w:left="0"/>
      </w:pPr>
    </w:p>
    <w:p w14:paraId="5AFCB075" w14:textId="77777777" w:rsidR="00D4454B" w:rsidRDefault="00D4454B" w:rsidP="00D4454B">
      <w:pPr>
        <w:pStyle w:val="BodyText"/>
        <w:ind w:right="288"/>
      </w:pPr>
      <w:r>
        <w:rPr>
          <w:b/>
        </w:rPr>
        <w:t xml:space="preserve">Principal residence </w:t>
      </w:r>
      <w:r>
        <w:t>means the state where an individual insured resides for the greatest number of days during a calendar year or, if the insured's principal residence is located outside of any state, the state to which the greatest percentage of the insured's taxable premium for that insurance contract is located.</w:t>
      </w:r>
    </w:p>
    <w:p w14:paraId="7E889AAE" w14:textId="77777777" w:rsidR="00D4454B" w:rsidRDefault="00D4454B" w:rsidP="00C269B9">
      <w:pPr>
        <w:pStyle w:val="BodyText"/>
        <w:ind w:right="267"/>
      </w:pPr>
    </w:p>
    <w:p w14:paraId="47220C83" w14:textId="4E967EBB" w:rsidR="00D4454B" w:rsidRDefault="00D4454B" w:rsidP="00C269B9">
      <w:pPr>
        <w:pStyle w:val="BodyText"/>
        <w:ind w:right="267"/>
        <w:sectPr w:rsidR="00D4454B">
          <w:pgSz w:w="12240" w:h="15840"/>
          <w:pgMar w:top="1200" w:right="800" w:bottom="280" w:left="780" w:header="720" w:footer="720" w:gutter="0"/>
          <w:cols w:space="720"/>
        </w:sectPr>
      </w:pPr>
    </w:p>
    <w:p w14:paraId="0CD4A8EB" w14:textId="77777777" w:rsidR="00B911E1" w:rsidRDefault="00B911E1">
      <w:pPr>
        <w:pStyle w:val="BodyText"/>
        <w:ind w:left="0"/>
      </w:pPr>
    </w:p>
    <w:p w14:paraId="556106ED" w14:textId="77777777" w:rsidR="00B911E1" w:rsidRDefault="00130E27">
      <w:pPr>
        <w:pStyle w:val="BodyText"/>
        <w:ind w:right="402"/>
      </w:pPr>
      <w:r>
        <w:rPr>
          <w:b/>
        </w:rPr>
        <w:t xml:space="preserve">Surplus lines insurance </w:t>
      </w:r>
      <w:r>
        <w:t xml:space="preserve">means any property or casualty insurance permitted in a state to be placed directly or through a surplus </w:t>
      </w:r>
      <w:proofErr w:type="gramStart"/>
      <w:r>
        <w:t>lines</w:t>
      </w:r>
      <w:proofErr w:type="gramEnd"/>
      <w:r>
        <w:t xml:space="preserve"> insurance producer with an unauthorized insurer eligible to accept the insurance. The term includes independently procured insurance.</w:t>
      </w:r>
    </w:p>
    <w:p w14:paraId="06539DD9" w14:textId="77777777" w:rsidR="00B911E1" w:rsidRDefault="00B911E1">
      <w:pPr>
        <w:pStyle w:val="BodyText"/>
        <w:ind w:left="0"/>
      </w:pPr>
    </w:p>
    <w:p w14:paraId="50DB48F3" w14:textId="77777777" w:rsidR="00B911E1" w:rsidRDefault="00130E27">
      <w:pPr>
        <w:pStyle w:val="BodyText"/>
        <w:ind w:right="320"/>
      </w:pPr>
      <w:r>
        <w:rPr>
          <w:b/>
        </w:rPr>
        <w:t xml:space="preserve">Unauthorized insurer </w:t>
      </w:r>
      <w:r>
        <w:t>means with respect to a state, an insurer not authorized to transact the business of insurance in the state. The term includes an insurance exchange authorized under the laws of another state. The term does not include a risk retention group, as that term is defined in the Liability Risk Retention Act of 1986, 15 U.S.C. 3901(a)(4).</w:t>
      </w:r>
    </w:p>
    <w:sectPr w:rsidR="00B911E1">
      <w:pgSz w:w="12240" w:h="15840"/>
      <w:pgMar w:top="940" w:right="8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1549F"/>
    <w:multiLevelType w:val="hybridMultilevel"/>
    <w:tmpl w:val="5D96D44C"/>
    <w:lvl w:ilvl="0" w:tplc="ED7078BC">
      <w:start w:val="1"/>
      <w:numFmt w:val="lowerLetter"/>
      <w:lvlText w:val="(%1)"/>
      <w:lvlJc w:val="left"/>
      <w:pPr>
        <w:ind w:left="660" w:hanging="360"/>
      </w:pPr>
      <w:rPr>
        <w:rFonts w:ascii="Arial" w:eastAsia="Arial" w:hAnsi="Arial" w:cs="Arial" w:hint="default"/>
        <w:spacing w:val="-1"/>
        <w:w w:val="99"/>
        <w:sz w:val="24"/>
        <w:szCs w:val="24"/>
      </w:rPr>
    </w:lvl>
    <w:lvl w:ilvl="1" w:tplc="22A8FCEC">
      <w:numFmt w:val="bullet"/>
      <w:lvlText w:val="•"/>
      <w:lvlJc w:val="left"/>
      <w:pPr>
        <w:ind w:left="1660" w:hanging="360"/>
      </w:pPr>
      <w:rPr>
        <w:rFonts w:hint="default"/>
      </w:rPr>
    </w:lvl>
    <w:lvl w:ilvl="2" w:tplc="9C6A1F68">
      <w:numFmt w:val="bullet"/>
      <w:lvlText w:val="•"/>
      <w:lvlJc w:val="left"/>
      <w:pPr>
        <w:ind w:left="2660" w:hanging="360"/>
      </w:pPr>
      <w:rPr>
        <w:rFonts w:hint="default"/>
      </w:rPr>
    </w:lvl>
    <w:lvl w:ilvl="3" w:tplc="63368D76">
      <w:numFmt w:val="bullet"/>
      <w:lvlText w:val="•"/>
      <w:lvlJc w:val="left"/>
      <w:pPr>
        <w:ind w:left="3660" w:hanging="360"/>
      </w:pPr>
      <w:rPr>
        <w:rFonts w:hint="default"/>
      </w:rPr>
    </w:lvl>
    <w:lvl w:ilvl="4" w:tplc="677686FC">
      <w:numFmt w:val="bullet"/>
      <w:lvlText w:val="•"/>
      <w:lvlJc w:val="left"/>
      <w:pPr>
        <w:ind w:left="4660" w:hanging="360"/>
      </w:pPr>
      <w:rPr>
        <w:rFonts w:hint="default"/>
      </w:rPr>
    </w:lvl>
    <w:lvl w:ilvl="5" w:tplc="F9223BF4">
      <w:numFmt w:val="bullet"/>
      <w:lvlText w:val="•"/>
      <w:lvlJc w:val="left"/>
      <w:pPr>
        <w:ind w:left="5660" w:hanging="360"/>
      </w:pPr>
      <w:rPr>
        <w:rFonts w:hint="default"/>
      </w:rPr>
    </w:lvl>
    <w:lvl w:ilvl="6" w:tplc="674C3DFC">
      <w:numFmt w:val="bullet"/>
      <w:lvlText w:val="•"/>
      <w:lvlJc w:val="left"/>
      <w:pPr>
        <w:ind w:left="6660" w:hanging="360"/>
      </w:pPr>
      <w:rPr>
        <w:rFonts w:hint="default"/>
      </w:rPr>
    </w:lvl>
    <w:lvl w:ilvl="7" w:tplc="62CA63FC">
      <w:numFmt w:val="bullet"/>
      <w:lvlText w:val="•"/>
      <w:lvlJc w:val="left"/>
      <w:pPr>
        <w:ind w:left="7660" w:hanging="360"/>
      </w:pPr>
      <w:rPr>
        <w:rFonts w:hint="default"/>
      </w:rPr>
    </w:lvl>
    <w:lvl w:ilvl="8" w:tplc="247620F6">
      <w:numFmt w:val="bullet"/>
      <w:lvlText w:val="•"/>
      <w:lvlJc w:val="left"/>
      <w:pPr>
        <w:ind w:left="8660" w:hanging="360"/>
      </w:pPr>
      <w:rPr>
        <w:rFonts w:hint="default"/>
      </w:rPr>
    </w:lvl>
  </w:abstractNum>
  <w:abstractNum w:abstractNumId="1" w15:restartNumberingAfterBreak="0">
    <w:nsid w:val="3C0A0902"/>
    <w:multiLevelType w:val="hybridMultilevel"/>
    <w:tmpl w:val="95B25564"/>
    <w:lvl w:ilvl="0" w:tplc="7848E682">
      <w:start w:val="1"/>
      <w:numFmt w:val="lowerRoman"/>
      <w:lvlText w:val="(%1)"/>
      <w:lvlJc w:val="left"/>
      <w:pPr>
        <w:ind w:left="300" w:hanging="279"/>
      </w:pPr>
      <w:rPr>
        <w:rFonts w:ascii="Arial" w:eastAsia="Arial" w:hAnsi="Arial" w:cs="Arial" w:hint="default"/>
        <w:spacing w:val="-1"/>
        <w:w w:val="99"/>
        <w:sz w:val="24"/>
        <w:szCs w:val="24"/>
      </w:rPr>
    </w:lvl>
    <w:lvl w:ilvl="1" w:tplc="8A6E1F30">
      <w:numFmt w:val="bullet"/>
      <w:lvlText w:val="•"/>
      <w:lvlJc w:val="left"/>
      <w:pPr>
        <w:ind w:left="1336" w:hanging="279"/>
      </w:pPr>
      <w:rPr>
        <w:rFonts w:hint="default"/>
      </w:rPr>
    </w:lvl>
    <w:lvl w:ilvl="2" w:tplc="DEB696B0">
      <w:numFmt w:val="bullet"/>
      <w:lvlText w:val="•"/>
      <w:lvlJc w:val="left"/>
      <w:pPr>
        <w:ind w:left="2372" w:hanging="279"/>
      </w:pPr>
      <w:rPr>
        <w:rFonts w:hint="default"/>
      </w:rPr>
    </w:lvl>
    <w:lvl w:ilvl="3" w:tplc="47862E16">
      <w:numFmt w:val="bullet"/>
      <w:lvlText w:val="•"/>
      <w:lvlJc w:val="left"/>
      <w:pPr>
        <w:ind w:left="3408" w:hanging="279"/>
      </w:pPr>
      <w:rPr>
        <w:rFonts w:hint="default"/>
      </w:rPr>
    </w:lvl>
    <w:lvl w:ilvl="4" w:tplc="4BCE8B66">
      <w:numFmt w:val="bullet"/>
      <w:lvlText w:val="•"/>
      <w:lvlJc w:val="left"/>
      <w:pPr>
        <w:ind w:left="4444" w:hanging="279"/>
      </w:pPr>
      <w:rPr>
        <w:rFonts w:hint="default"/>
      </w:rPr>
    </w:lvl>
    <w:lvl w:ilvl="5" w:tplc="456CC66A">
      <w:numFmt w:val="bullet"/>
      <w:lvlText w:val="•"/>
      <w:lvlJc w:val="left"/>
      <w:pPr>
        <w:ind w:left="5480" w:hanging="279"/>
      </w:pPr>
      <w:rPr>
        <w:rFonts w:hint="default"/>
      </w:rPr>
    </w:lvl>
    <w:lvl w:ilvl="6" w:tplc="68F8542A">
      <w:numFmt w:val="bullet"/>
      <w:lvlText w:val="•"/>
      <w:lvlJc w:val="left"/>
      <w:pPr>
        <w:ind w:left="6516" w:hanging="279"/>
      </w:pPr>
      <w:rPr>
        <w:rFonts w:hint="default"/>
      </w:rPr>
    </w:lvl>
    <w:lvl w:ilvl="7" w:tplc="592ECBEA">
      <w:numFmt w:val="bullet"/>
      <w:lvlText w:val="•"/>
      <w:lvlJc w:val="left"/>
      <w:pPr>
        <w:ind w:left="7552" w:hanging="279"/>
      </w:pPr>
      <w:rPr>
        <w:rFonts w:hint="default"/>
      </w:rPr>
    </w:lvl>
    <w:lvl w:ilvl="8" w:tplc="4656B052">
      <w:numFmt w:val="bullet"/>
      <w:lvlText w:val="•"/>
      <w:lvlJc w:val="left"/>
      <w:pPr>
        <w:ind w:left="8588" w:hanging="279"/>
      </w:pPr>
      <w:rPr>
        <w:rFonts w:hint="default"/>
      </w:rPr>
    </w:lvl>
  </w:abstractNum>
  <w:abstractNum w:abstractNumId="2" w15:restartNumberingAfterBreak="0">
    <w:nsid w:val="72C40A75"/>
    <w:multiLevelType w:val="hybridMultilevel"/>
    <w:tmpl w:val="CCD0F2BC"/>
    <w:lvl w:ilvl="0" w:tplc="DAFA5146">
      <w:start w:val="1"/>
      <w:numFmt w:val="lowerRoman"/>
      <w:lvlText w:val="(%1)"/>
      <w:lvlJc w:val="left"/>
      <w:pPr>
        <w:ind w:left="300" w:hanging="279"/>
      </w:pPr>
      <w:rPr>
        <w:rFonts w:ascii="Arial" w:eastAsia="Arial" w:hAnsi="Arial" w:cs="Arial" w:hint="default"/>
        <w:spacing w:val="-1"/>
        <w:w w:val="99"/>
        <w:sz w:val="24"/>
        <w:szCs w:val="24"/>
      </w:rPr>
    </w:lvl>
    <w:lvl w:ilvl="1" w:tplc="63C015F4">
      <w:numFmt w:val="bullet"/>
      <w:lvlText w:val="•"/>
      <w:lvlJc w:val="left"/>
      <w:pPr>
        <w:ind w:left="1336" w:hanging="279"/>
      </w:pPr>
      <w:rPr>
        <w:rFonts w:hint="default"/>
      </w:rPr>
    </w:lvl>
    <w:lvl w:ilvl="2" w:tplc="967E0BF4">
      <w:numFmt w:val="bullet"/>
      <w:lvlText w:val="•"/>
      <w:lvlJc w:val="left"/>
      <w:pPr>
        <w:ind w:left="2372" w:hanging="279"/>
      </w:pPr>
      <w:rPr>
        <w:rFonts w:hint="default"/>
      </w:rPr>
    </w:lvl>
    <w:lvl w:ilvl="3" w:tplc="F3D01C5E">
      <w:numFmt w:val="bullet"/>
      <w:lvlText w:val="•"/>
      <w:lvlJc w:val="left"/>
      <w:pPr>
        <w:ind w:left="3408" w:hanging="279"/>
      </w:pPr>
      <w:rPr>
        <w:rFonts w:hint="default"/>
      </w:rPr>
    </w:lvl>
    <w:lvl w:ilvl="4" w:tplc="A3A44F02">
      <w:numFmt w:val="bullet"/>
      <w:lvlText w:val="•"/>
      <w:lvlJc w:val="left"/>
      <w:pPr>
        <w:ind w:left="4444" w:hanging="279"/>
      </w:pPr>
      <w:rPr>
        <w:rFonts w:hint="default"/>
      </w:rPr>
    </w:lvl>
    <w:lvl w:ilvl="5" w:tplc="8FCCFF16">
      <w:numFmt w:val="bullet"/>
      <w:lvlText w:val="•"/>
      <w:lvlJc w:val="left"/>
      <w:pPr>
        <w:ind w:left="5480" w:hanging="279"/>
      </w:pPr>
      <w:rPr>
        <w:rFonts w:hint="default"/>
      </w:rPr>
    </w:lvl>
    <w:lvl w:ilvl="6" w:tplc="AD2CF236">
      <w:numFmt w:val="bullet"/>
      <w:lvlText w:val="•"/>
      <w:lvlJc w:val="left"/>
      <w:pPr>
        <w:ind w:left="6516" w:hanging="279"/>
      </w:pPr>
      <w:rPr>
        <w:rFonts w:hint="default"/>
      </w:rPr>
    </w:lvl>
    <w:lvl w:ilvl="7" w:tplc="AD9A8602">
      <w:numFmt w:val="bullet"/>
      <w:lvlText w:val="•"/>
      <w:lvlJc w:val="left"/>
      <w:pPr>
        <w:ind w:left="7552" w:hanging="279"/>
      </w:pPr>
      <w:rPr>
        <w:rFonts w:hint="default"/>
      </w:rPr>
    </w:lvl>
    <w:lvl w:ilvl="8" w:tplc="7B281DCA">
      <w:numFmt w:val="bullet"/>
      <w:lvlText w:val="•"/>
      <w:lvlJc w:val="left"/>
      <w:pPr>
        <w:ind w:left="8588" w:hanging="27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E1"/>
    <w:rsid w:val="00130E27"/>
    <w:rsid w:val="00306D6C"/>
    <w:rsid w:val="00B911E1"/>
    <w:rsid w:val="00C269B9"/>
    <w:rsid w:val="00D4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57BF"/>
  <w15:docId w15:val="{FC9FF20E-CE6A-408D-8DA6-D735DA82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rPr>
      <w:sz w:val="24"/>
      <w:szCs w:val="24"/>
    </w:rPr>
  </w:style>
  <w:style w:type="paragraph" w:styleId="ListParagraph">
    <w:name w:val="List Paragraph"/>
    <w:basedOn w:val="Normal"/>
    <w:uiPriority w:val="1"/>
    <w:qFormat/>
    <w:pPr>
      <w:ind w:left="300"/>
    </w:pPr>
  </w:style>
  <w:style w:type="paragraph" w:customStyle="1" w:styleId="TableParagraph">
    <w:name w:val="Table Paragraph"/>
    <w:basedOn w:val="Normal"/>
    <w:uiPriority w:val="1"/>
    <w:qFormat/>
    <w:pPr>
      <w:ind w:left="107"/>
    </w:pPr>
  </w:style>
  <w:style w:type="paragraph" w:customStyle="1" w:styleId="Default">
    <w:name w:val="Default"/>
    <w:rsid w:val="00C269B9"/>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MONTANA SURPLUS LINES</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SURPLUS LINES</dc:title>
  <dc:creator>Joan Barber</dc:creator>
  <cp:lastModifiedBy>Daugherty, Pam</cp:lastModifiedBy>
  <cp:revision>2</cp:revision>
  <dcterms:created xsi:type="dcterms:W3CDTF">2019-07-31T21:39:00Z</dcterms:created>
  <dcterms:modified xsi:type="dcterms:W3CDTF">2019-07-31T21:39:00Z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2011-12-16T00:00:00Z</vt:filetime>
  </property>
  <property fmtid="{D5CDD505-2E9C-101B-9397-08002B2CF9AE}" pid="3" name="Creator">
    <vt:lpwstr>Acrobat PDFMaker 9.1 for Word</vt:lpwstr>
  </property>
  <property fmtid="{D5CDD505-2E9C-101B-9397-08002B2CF9AE}" pid="4" name="LastSaved">
    <vt:filetime>2019-07-09T00:00:00Z</vt:filetime>
  </property>
</Properties>
</file>