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2819" w14:textId="77777777" w:rsidR="00840BB1" w:rsidRPr="00FF5B27" w:rsidRDefault="00CA4BAE">
      <w:pPr>
        <w:spacing w:after="748" w:line="259" w:lineRule="auto"/>
        <w:ind w:left="3409" w:firstLine="0"/>
        <w:rPr>
          <w:rFonts w:asciiTheme="minorHAnsi" w:hAnsiTheme="minorHAnsi"/>
          <w:szCs w:val="22"/>
        </w:rPr>
      </w:pPr>
      <w:r w:rsidRPr="00FF5B27">
        <w:rPr>
          <w:rFonts w:asciiTheme="minorHAnsi" w:hAnsiTheme="minorHAnsi"/>
          <w:noProof/>
          <w:szCs w:val="22"/>
        </w:rPr>
        <w:drawing>
          <wp:inline distT="0" distB="0" distL="0" distR="0" wp14:anchorId="101741BB" wp14:editId="67416325">
            <wp:extent cx="1942327" cy="875376"/>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1942327" cy="875376"/>
                    </a:xfrm>
                    <a:prstGeom prst="rect">
                      <a:avLst/>
                    </a:prstGeom>
                  </pic:spPr>
                </pic:pic>
              </a:graphicData>
            </a:graphic>
          </wp:inline>
        </w:drawing>
      </w:r>
    </w:p>
    <w:p w14:paraId="4CA12830" w14:textId="77777777" w:rsidR="00840BB1" w:rsidRPr="00FF5B27" w:rsidRDefault="00CA4BAE">
      <w:pPr>
        <w:spacing w:after="715" w:line="259" w:lineRule="auto"/>
        <w:ind w:left="551" w:firstLine="0"/>
        <w:jc w:val="center"/>
        <w:rPr>
          <w:rFonts w:asciiTheme="minorHAnsi" w:hAnsiTheme="minorHAnsi"/>
          <w:sz w:val="28"/>
          <w:szCs w:val="28"/>
        </w:rPr>
      </w:pPr>
      <w:r w:rsidRPr="00FF5B27">
        <w:rPr>
          <w:rFonts w:asciiTheme="minorHAnsi" w:eastAsia="Calibri" w:hAnsiTheme="minorHAnsi" w:cs="Calibri"/>
          <w:b/>
          <w:sz w:val="28"/>
          <w:szCs w:val="28"/>
        </w:rPr>
        <w:t xml:space="preserve">NOTICE </w:t>
      </w:r>
    </w:p>
    <w:p w14:paraId="5D8FA2DC" w14:textId="2E959C01" w:rsidR="00840BB1" w:rsidRPr="00FF5B27" w:rsidRDefault="00CA4BAE" w:rsidP="003830C8">
      <w:pPr>
        <w:tabs>
          <w:tab w:val="left" w:pos="1440"/>
          <w:tab w:val="center" w:pos="2753"/>
        </w:tabs>
        <w:spacing w:after="292" w:line="261" w:lineRule="auto"/>
        <w:ind w:left="0" w:firstLine="0"/>
        <w:rPr>
          <w:rFonts w:asciiTheme="minorHAnsi" w:hAnsiTheme="minorHAnsi"/>
          <w:sz w:val="24"/>
        </w:rPr>
      </w:pPr>
      <w:r w:rsidRPr="00FF5B27">
        <w:rPr>
          <w:rFonts w:asciiTheme="minorHAnsi" w:hAnsiTheme="minorHAnsi"/>
          <w:b/>
          <w:sz w:val="24"/>
        </w:rPr>
        <w:t xml:space="preserve">TO: </w:t>
      </w:r>
      <w:r w:rsidR="003830C8">
        <w:rPr>
          <w:rFonts w:asciiTheme="minorHAnsi" w:hAnsiTheme="minorHAnsi"/>
          <w:b/>
          <w:sz w:val="24"/>
        </w:rPr>
        <w:tab/>
      </w:r>
      <w:r w:rsidRPr="00FF5B27">
        <w:rPr>
          <w:rFonts w:asciiTheme="minorHAnsi" w:hAnsiTheme="minorHAnsi"/>
          <w:b/>
          <w:sz w:val="24"/>
        </w:rPr>
        <w:t xml:space="preserve">All Captive Managers </w:t>
      </w:r>
    </w:p>
    <w:p w14:paraId="2641E956" w14:textId="03363D8B" w:rsidR="00A86B21" w:rsidRPr="00FF5B27" w:rsidRDefault="00CA4BAE" w:rsidP="00A549E2">
      <w:pPr>
        <w:spacing w:after="292" w:line="261" w:lineRule="auto"/>
        <w:ind w:left="1440" w:hanging="1440"/>
        <w:rPr>
          <w:rFonts w:asciiTheme="minorHAnsi" w:hAnsiTheme="minorHAnsi"/>
          <w:b/>
          <w:sz w:val="24"/>
        </w:rPr>
      </w:pPr>
      <w:r w:rsidRPr="00FF5B27">
        <w:rPr>
          <w:rFonts w:asciiTheme="minorHAnsi" w:hAnsiTheme="minorHAnsi"/>
          <w:b/>
          <w:sz w:val="24"/>
        </w:rPr>
        <w:t xml:space="preserve">FROM: </w:t>
      </w:r>
      <w:r w:rsidRPr="00FF5B27">
        <w:rPr>
          <w:rFonts w:asciiTheme="minorHAnsi" w:hAnsiTheme="minorHAnsi"/>
          <w:b/>
          <w:sz w:val="24"/>
        </w:rPr>
        <w:tab/>
        <w:t>Captive Insurance</w:t>
      </w:r>
      <w:r w:rsidR="00A86B21" w:rsidRPr="00FF5B27">
        <w:rPr>
          <w:rFonts w:asciiTheme="minorHAnsi" w:hAnsiTheme="minorHAnsi"/>
          <w:b/>
          <w:sz w:val="24"/>
        </w:rPr>
        <w:t xml:space="preserve">, </w:t>
      </w:r>
      <w:r w:rsidRPr="00FF5B27">
        <w:rPr>
          <w:rFonts w:asciiTheme="minorHAnsi" w:hAnsiTheme="minorHAnsi"/>
          <w:b/>
          <w:sz w:val="24"/>
        </w:rPr>
        <w:t>Office of the Commissioner of Securities &amp; Insurance (CSI)</w:t>
      </w:r>
      <w:r w:rsidR="00A86B21" w:rsidRPr="00FF5B27">
        <w:rPr>
          <w:rFonts w:asciiTheme="minorHAnsi" w:hAnsiTheme="minorHAnsi"/>
          <w:b/>
          <w:sz w:val="24"/>
        </w:rPr>
        <w:t xml:space="preserve">; 406-444-3513; </w:t>
      </w:r>
      <w:hyperlink r:id="rId9" w:history="1">
        <w:r w:rsidR="00A86B21" w:rsidRPr="00FF5B27">
          <w:rPr>
            <w:rStyle w:val="Hyperlink"/>
            <w:rFonts w:asciiTheme="minorHAnsi" w:hAnsiTheme="minorHAnsi"/>
            <w:b/>
            <w:sz w:val="24"/>
          </w:rPr>
          <w:t>csi.captives@mt.gov</w:t>
        </w:r>
      </w:hyperlink>
    </w:p>
    <w:p w14:paraId="2979A3E1" w14:textId="1A474592" w:rsidR="00840BB1" w:rsidRPr="00FF5B27" w:rsidRDefault="00CA4BAE" w:rsidP="00A86B21">
      <w:pPr>
        <w:spacing w:after="292" w:line="261" w:lineRule="auto"/>
        <w:ind w:left="1440" w:hanging="1440"/>
        <w:rPr>
          <w:rFonts w:asciiTheme="minorHAnsi" w:hAnsiTheme="minorHAnsi"/>
          <w:sz w:val="24"/>
        </w:rPr>
      </w:pPr>
      <w:r w:rsidRPr="00FF5B27">
        <w:rPr>
          <w:rFonts w:asciiTheme="minorHAnsi" w:hAnsiTheme="minorHAnsi"/>
          <w:b/>
          <w:sz w:val="24"/>
        </w:rPr>
        <w:t xml:space="preserve"> SUBJECT:  </w:t>
      </w:r>
      <w:r w:rsidR="00FF5B27">
        <w:rPr>
          <w:rFonts w:asciiTheme="minorHAnsi" w:hAnsiTheme="minorHAnsi"/>
          <w:b/>
          <w:sz w:val="24"/>
        </w:rPr>
        <w:tab/>
      </w:r>
      <w:r w:rsidRPr="00FF5B27">
        <w:rPr>
          <w:rFonts w:asciiTheme="minorHAnsi" w:hAnsiTheme="minorHAnsi"/>
          <w:b/>
          <w:sz w:val="24"/>
        </w:rPr>
        <w:t>Annual Reporting Instructions Montana-domiciled Captive</w:t>
      </w:r>
      <w:r w:rsidR="00A549E2" w:rsidRPr="00FF5B27">
        <w:rPr>
          <w:rFonts w:asciiTheme="minorHAnsi" w:hAnsiTheme="minorHAnsi"/>
          <w:b/>
          <w:sz w:val="24"/>
        </w:rPr>
        <w:t xml:space="preserve">s                     </w:t>
      </w:r>
    </w:p>
    <w:p w14:paraId="3A90BE2A" w14:textId="77777777" w:rsidR="00840BB1" w:rsidRPr="00FF5B27" w:rsidRDefault="00CA4BAE">
      <w:pPr>
        <w:pStyle w:val="Heading1"/>
        <w:spacing w:after="251"/>
        <w:ind w:left="383" w:hanging="383"/>
        <w:rPr>
          <w:rFonts w:asciiTheme="minorHAnsi" w:hAnsiTheme="minorHAnsi"/>
          <w:szCs w:val="22"/>
        </w:rPr>
      </w:pPr>
      <w:r w:rsidRPr="00FF5B27">
        <w:rPr>
          <w:rFonts w:asciiTheme="minorHAnsi" w:hAnsiTheme="minorHAnsi"/>
          <w:szCs w:val="22"/>
        </w:rPr>
        <w:t>Unaudited Financial Statements (Annual Statement or Annual Report)</w:t>
      </w:r>
    </w:p>
    <w:p w14:paraId="5DDC196A" w14:textId="77777777" w:rsidR="00840BB1" w:rsidRPr="00FF5B27" w:rsidRDefault="00CA4BAE">
      <w:pPr>
        <w:spacing w:after="248"/>
        <w:ind w:left="1"/>
        <w:rPr>
          <w:rFonts w:asciiTheme="minorHAnsi" w:hAnsiTheme="minorHAnsi"/>
          <w:szCs w:val="22"/>
        </w:rPr>
      </w:pPr>
      <w:r w:rsidRPr="00FF5B27">
        <w:rPr>
          <w:rFonts w:asciiTheme="minorHAnsi" w:hAnsiTheme="minorHAnsi"/>
          <w:noProof/>
          <w:szCs w:val="22"/>
        </w:rPr>
        <w:drawing>
          <wp:anchor distT="0" distB="0" distL="114300" distR="114300" simplePos="0" relativeHeight="251658240" behindDoc="0" locked="0" layoutInCell="1" allowOverlap="0" wp14:anchorId="528575D5" wp14:editId="65063BBA">
            <wp:simplePos x="0" y="0"/>
            <wp:positionH relativeFrom="page">
              <wp:posOffset>934497</wp:posOffset>
            </wp:positionH>
            <wp:positionV relativeFrom="page">
              <wp:posOffset>9418380</wp:posOffset>
            </wp:positionV>
            <wp:extent cx="5943600" cy="443865"/>
            <wp:effectExtent l="0" t="0" r="0" b="0"/>
            <wp:wrapTopAndBottom/>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0"/>
                    <a:stretch>
                      <a:fillRect/>
                    </a:stretch>
                  </pic:blipFill>
                  <pic:spPr>
                    <a:xfrm>
                      <a:off x="0" y="0"/>
                      <a:ext cx="5943600" cy="443865"/>
                    </a:xfrm>
                    <a:prstGeom prst="rect">
                      <a:avLst/>
                    </a:prstGeom>
                  </pic:spPr>
                </pic:pic>
              </a:graphicData>
            </a:graphic>
          </wp:anchor>
        </w:drawing>
      </w:r>
      <w:r w:rsidRPr="00FF5B27">
        <w:rPr>
          <w:rFonts w:asciiTheme="minorHAnsi" w:hAnsiTheme="minorHAnsi"/>
          <w:szCs w:val="22"/>
        </w:rPr>
        <w:t xml:space="preserve">Pursuant to Mont. Code Ann. § 33-28-107, on or before April 1 of each year, the captive insurer shall submit to the Commissioner, on a form prescribed by the Commissioner, a report of its financial condition.  Each captive insurer shall report using generally accepted accounting principles (GAAP).   Modifications or adaptations to standard GAAP accounting may be used only with the prior written approval of the Commissioner.    </w:t>
      </w:r>
    </w:p>
    <w:p w14:paraId="5247BECE" w14:textId="77777777" w:rsidR="00E93C43" w:rsidRDefault="00CA4BAE" w:rsidP="00E93C43">
      <w:pPr>
        <w:spacing w:after="0"/>
        <w:ind w:left="1"/>
        <w:rPr>
          <w:rFonts w:asciiTheme="minorHAnsi" w:hAnsiTheme="minorHAnsi"/>
          <w:b/>
          <w:szCs w:val="22"/>
        </w:rPr>
      </w:pPr>
      <w:r w:rsidRPr="00FF5B27">
        <w:rPr>
          <w:rFonts w:asciiTheme="minorHAnsi" w:hAnsiTheme="minorHAnsi"/>
          <w:noProof/>
          <w:szCs w:val="22"/>
        </w:rPr>
        <w:drawing>
          <wp:anchor distT="0" distB="0" distL="114300" distR="114300" simplePos="0" relativeHeight="251659264" behindDoc="1" locked="0" layoutInCell="1" allowOverlap="0" wp14:anchorId="3B2E361F" wp14:editId="76DF1E26">
            <wp:simplePos x="0" y="0"/>
            <wp:positionH relativeFrom="column">
              <wp:posOffset>-85889</wp:posOffset>
            </wp:positionH>
            <wp:positionV relativeFrom="paragraph">
              <wp:posOffset>762285</wp:posOffset>
            </wp:positionV>
            <wp:extent cx="287655" cy="328749"/>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287655" cy="328749"/>
                    </a:xfrm>
                    <a:prstGeom prst="rect">
                      <a:avLst/>
                    </a:prstGeom>
                  </pic:spPr>
                </pic:pic>
              </a:graphicData>
            </a:graphic>
          </wp:anchor>
        </w:drawing>
      </w:r>
      <w:r w:rsidRPr="00FF5B27">
        <w:rPr>
          <w:rFonts w:asciiTheme="minorHAnsi" w:hAnsiTheme="minorHAnsi"/>
          <w:b/>
          <w:szCs w:val="22"/>
        </w:rPr>
        <w:t>Non-risk retention groups (“</w:t>
      </w:r>
      <w:r w:rsidRPr="00F6278A">
        <w:rPr>
          <w:rFonts w:asciiTheme="minorHAnsi" w:hAnsiTheme="minorHAnsi"/>
          <w:b/>
          <w:szCs w:val="22"/>
        </w:rPr>
        <w:t>non-RRGs”) may use the “M</w:t>
      </w:r>
      <w:r w:rsidR="0072509F">
        <w:rPr>
          <w:rFonts w:asciiTheme="minorHAnsi" w:hAnsiTheme="minorHAnsi"/>
          <w:b/>
          <w:szCs w:val="22"/>
        </w:rPr>
        <w:t>T</w:t>
      </w:r>
      <w:r w:rsidRPr="00F6278A">
        <w:rPr>
          <w:rFonts w:asciiTheme="minorHAnsi" w:hAnsiTheme="minorHAnsi"/>
          <w:b/>
          <w:szCs w:val="22"/>
        </w:rPr>
        <w:t xml:space="preserve"> Short Form” for the annual filing</w:t>
      </w:r>
      <w:r w:rsidR="00E93C43">
        <w:rPr>
          <w:rFonts w:asciiTheme="minorHAnsi" w:hAnsiTheme="minorHAnsi"/>
          <w:b/>
          <w:szCs w:val="22"/>
        </w:rPr>
        <w:t>:</w:t>
      </w:r>
    </w:p>
    <w:p w14:paraId="7B9BDE6D" w14:textId="77777777" w:rsidR="007053E5" w:rsidRPr="007053E5" w:rsidRDefault="007053E5" w:rsidP="007053E5">
      <w:pPr>
        <w:spacing w:after="0" w:line="240" w:lineRule="auto"/>
        <w:ind w:left="0" w:firstLine="0"/>
        <w:rPr>
          <w:rFonts w:ascii="Aptos" w:eastAsia="Aptos" w:hAnsi="Aptos" w:cs="Aptos"/>
          <w:color w:val="auto"/>
          <w:kern w:val="0"/>
          <w:sz w:val="24"/>
        </w:rPr>
      </w:pPr>
      <w:hyperlink r:id="rId12" w:history="1">
        <w:r w:rsidRPr="007053E5">
          <w:rPr>
            <w:rFonts w:ascii="Aptos" w:eastAsia="Aptos" w:hAnsi="Aptos" w:cs="Aptos"/>
            <w:color w:val="467886"/>
            <w:kern w:val="0"/>
            <w:sz w:val="24"/>
            <w:u w:val="single"/>
          </w:rPr>
          <w:t>http</w:t>
        </w:r>
        <w:r w:rsidRPr="007053E5">
          <w:rPr>
            <w:rFonts w:ascii="Aptos" w:eastAsia="Aptos" w:hAnsi="Aptos" w:cs="Aptos"/>
            <w:color w:val="467886"/>
            <w:kern w:val="0"/>
            <w:sz w:val="24"/>
            <w:u w:val="single"/>
          </w:rPr>
          <w:t>s</w:t>
        </w:r>
        <w:r w:rsidRPr="007053E5">
          <w:rPr>
            <w:rFonts w:ascii="Aptos" w:eastAsia="Aptos" w:hAnsi="Aptos" w:cs="Aptos"/>
            <w:color w:val="467886"/>
            <w:kern w:val="0"/>
            <w:sz w:val="24"/>
            <w:u w:val="single"/>
          </w:rPr>
          <w:t>://csimt.gov/wp-content/uploads/2026/01/UPDATED-CAPTIVE-MT-SHORT-FORM-ENDING-2025-2.xlsx</w:t>
        </w:r>
      </w:hyperlink>
    </w:p>
    <w:p w14:paraId="4FB90851" w14:textId="45D688B7" w:rsidR="00E93C43" w:rsidRDefault="00F6278A" w:rsidP="00E93C43">
      <w:pPr>
        <w:spacing w:after="0"/>
        <w:ind w:left="1"/>
        <w:rPr>
          <w:rFonts w:asciiTheme="minorHAnsi" w:hAnsiTheme="minorHAnsi"/>
          <w:b/>
          <w:szCs w:val="22"/>
        </w:rPr>
      </w:pPr>
      <w:r>
        <w:rPr>
          <w:rFonts w:asciiTheme="minorHAnsi" w:hAnsiTheme="minorHAnsi"/>
          <w:b/>
          <w:szCs w:val="22"/>
        </w:rPr>
        <w:t xml:space="preserve"> </w:t>
      </w:r>
    </w:p>
    <w:p w14:paraId="4592D9BD" w14:textId="13721CD9" w:rsidR="00A549E2" w:rsidRDefault="00A549E2" w:rsidP="00E93C43">
      <w:pPr>
        <w:spacing w:after="0"/>
        <w:ind w:left="1"/>
        <w:rPr>
          <w:rFonts w:asciiTheme="minorHAnsi" w:hAnsiTheme="minorHAnsi"/>
          <w:szCs w:val="22"/>
        </w:rPr>
      </w:pPr>
      <w:r w:rsidRPr="00FF5B27">
        <w:rPr>
          <w:rFonts w:asciiTheme="minorHAnsi" w:hAnsiTheme="minorHAnsi"/>
          <w:b/>
          <w:szCs w:val="22"/>
        </w:rPr>
        <w:t>Fiscal Filers</w:t>
      </w:r>
      <w:r w:rsidR="00C31613" w:rsidRPr="00FF5B27">
        <w:rPr>
          <w:rFonts w:asciiTheme="minorHAnsi" w:hAnsiTheme="minorHAnsi"/>
          <w:b/>
          <w:szCs w:val="22"/>
        </w:rPr>
        <w:t xml:space="preserve"> </w:t>
      </w:r>
      <w:r w:rsidR="00F6278A">
        <w:rPr>
          <w:rFonts w:asciiTheme="minorHAnsi" w:hAnsiTheme="minorHAnsi"/>
          <w:b/>
          <w:szCs w:val="22"/>
        </w:rPr>
        <w:t xml:space="preserve">may </w:t>
      </w:r>
      <w:r w:rsidR="00C31613" w:rsidRPr="00FF5B27">
        <w:rPr>
          <w:rFonts w:asciiTheme="minorHAnsi" w:hAnsiTheme="minorHAnsi"/>
          <w:b/>
          <w:szCs w:val="22"/>
        </w:rPr>
        <w:t xml:space="preserve">use the </w:t>
      </w:r>
      <w:r w:rsidR="00F6278A">
        <w:rPr>
          <w:rFonts w:asciiTheme="minorHAnsi" w:hAnsiTheme="minorHAnsi"/>
          <w:b/>
          <w:szCs w:val="22"/>
        </w:rPr>
        <w:t>“</w:t>
      </w:r>
      <w:r w:rsidR="0072509F" w:rsidRPr="0072509F">
        <w:rPr>
          <w:rFonts w:asciiTheme="minorHAnsi" w:hAnsiTheme="minorHAnsi"/>
          <w:b/>
          <w:szCs w:val="22"/>
        </w:rPr>
        <w:t>MT F</w:t>
      </w:r>
      <w:r w:rsidR="0072509F">
        <w:rPr>
          <w:rFonts w:asciiTheme="minorHAnsi" w:hAnsiTheme="minorHAnsi"/>
          <w:b/>
          <w:szCs w:val="22"/>
        </w:rPr>
        <w:t xml:space="preserve">iscal </w:t>
      </w:r>
      <w:r w:rsidR="0072509F" w:rsidRPr="0072509F">
        <w:rPr>
          <w:rFonts w:asciiTheme="minorHAnsi" w:hAnsiTheme="minorHAnsi"/>
          <w:b/>
          <w:szCs w:val="22"/>
        </w:rPr>
        <w:t>F</w:t>
      </w:r>
      <w:r w:rsidR="0072509F">
        <w:rPr>
          <w:rFonts w:asciiTheme="minorHAnsi" w:hAnsiTheme="minorHAnsi"/>
          <w:b/>
          <w:szCs w:val="22"/>
        </w:rPr>
        <w:t>ile</w:t>
      </w:r>
      <w:r w:rsidR="0072509F" w:rsidRPr="0072509F">
        <w:rPr>
          <w:rFonts w:asciiTheme="minorHAnsi" w:hAnsiTheme="minorHAnsi"/>
          <w:b/>
          <w:szCs w:val="22"/>
        </w:rPr>
        <w:t xml:space="preserve"> F</w:t>
      </w:r>
      <w:r w:rsidR="0072509F">
        <w:rPr>
          <w:rFonts w:asciiTheme="minorHAnsi" w:hAnsiTheme="minorHAnsi"/>
          <w:b/>
          <w:szCs w:val="22"/>
        </w:rPr>
        <w:t>orm</w:t>
      </w:r>
      <w:r w:rsidR="00E93C43">
        <w:rPr>
          <w:rFonts w:asciiTheme="minorHAnsi" w:hAnsiTheme="minorHAnsi"/>
          <w:b/>
          <w:szCs w:val="22"/>
        </w:rPr>
        <w:t>:</w:t>
      </w:r>
      <w:r w:rsidR="00F6278A">
        <w:rPr>
          <w:rFonts w:asciiTheme="minorHAnsi" w:hAnsiTheme="minorHAnsi"/>
          <w:b/>
          <w:szCs w:val="22"/>
        </w:rPr>
        <w:t>”</w:t>
      </w:r>
      <w:r w:rsidR="00F6278A" w:rsidRPr="00FF5B27">
        <w:rPr>
          <w:rFonts w:asciiTheme="minorHAnsi" w:hAnsiTheme="minorHAnsi"/>
          <w:szCs w:val="22"/>
        </w:rPr>
        <w:t xml:space="preserve"> </w:t>
      </w:r>
    </w:p>
    <w:p w14:paraId="0CCD9978" w14:textId="3AD246AB" w:rsidR="00E93C43" w:rsidRDefault="00E93C43" w:rsidP="00E93C43">
      <w:pPr>
        <w:spacing w:after="0"/>
        <w:ind w:left="1"/>
        <w:rPr>
          <w:rFonts w:asciiTheme="minorHAnsi" w:hAnsiTheme="minorHAnsi"/>
          <w:szCs w:val="22"/>
        </w:rPr>
      </w:pPr>
      <w:hyperlink r:id="rId13" w:history="1">
        <w:r w:rsidRPr="00E93C43">
          <w:rPr>
            <w:rStyle w:val="Hyperlink"/>
            <w:rFonts w:asciiTheme="minorHAnsi" w:hAnsiTheme="minorHAnsi"/>
            <w:szCs w:val="22"/>
          </w:rPr>
          <w:t>https://csimt.gov/wp-content/uploads/2026/01/CAPTIVE-MT-FISCAL-FILING-FORM.xlsx</w:t>
        </w:r>
      </w:hyperlink>
    </w:p>
    <w:p w14:paraId="5127F526" w14:textId="77777777" w:rsidR="00E93C43" w:rsidRDefault="00E93C43" w:rsidP="00E93C43">
      <w:pPr>
        <w:spacing w:after="0"/>
        <w:ind w:left="1"/>
        <w:rPr>
          <w:rFonts w:asciiTheme="minorHAnsi" w:hAnsiTheme="minorHAnsi"/>
          <w:szCs w:val="22"/>
        </w:rPr>
      </w:pPr>
    </w:p>
    <w:p w14:paraId="0F413A4F" w14:textId="77777777" w:rsidR="00840BB1" w:rsidRPr="00FF5B27" w:rsidRDefault="00CA4BAE">
      <w:pPr>
        <w:spacing w:after="275" w:line="240" w:lineRule="auto"/>
        <w:ind w:left="15" w:firstLine="0"/>
        <w:rPr>
          <w:rFonts w:asciiTheme="minorHAnsi" w:hAnsiTheme="minorHAnsi"/>
          <w:szCs w:val="22"/>
        </w:rPr>
      </w:pPr>
      <w:r w:rsidRPr="00FF5B27">
        <w:rPr>
          <w:rFonts w:asciiTheme="minorHAnsi" w:hAnsiTheme="minorHAnsi"/>
          <w:b/>
          <w:i/>
          <w:szCs w:val="22"/>
        </w:rPr>
        <w:t xml:space="preserve">The Commissioner may impose a fine for the late filing of an annual report.  The fine may not exceed $100 per day, and the maximum fine is $1,000. </w:t>
      </w:r>
      <w:r w:rsidRPr="00FF5B27">
        <w:rPr>
          <w:rFonts w:asciiTheme="minorHAnsi" w:hAnsiTheme="minorHAnsi"/>
          <w:szCs w:val="22"/>
        </w:rPr>
        <w:t xml:space="preserve"> </w:t>
      </w:r>
    </w:p>
    <w:p w14:paraId="5466AB3C" w14:textId="77777777" w:rsidR="00840BB1" w:rsidRPr="00FF5B27" w:rsidRDefault="00CA4BAE">
      <w:pPr>
        <w:pStyle w:val="Heading1"/>
        <w:spacing w:after="253"/>
        <w:ind w:left="384" w:hanging="384"/>
        <w:rPr>
          <w:rFonts w:asciiTheme="minorHAnsi" w:hAnsiTheme="minorHAnsi"/>
          <w:szCs w:val="22"/>
        </w:rPr>
      </w:pPr>
      <w:r w:rsidRPr="00FF5B27">
        <w:rPr>
          <w:rFonts w:asciiTheme="minorHAnsi" w:hAnsiTheme="minorHAnsi"/>
          <w:szCs w:val="22"/>
        </w:rPr>
        <w:t>Audited Financial Statements</w:t>
      </w:r>
    </w:p>
    <w:p w14:paraId="01C40207" w14:textId="038388C2" w:rsidR="00840BB1" w:rsidRPr="00FF5B27" w:rsidRDefault="00CA4BAE">
      <w:pPr>
        <w:spacing w:after="132"/>
        <w:ind w:left="1"/>
        <w:rPr>
          <w:rFonts w:asciiTheme="minorHAnsi" w:hAnsiTheme="minorHAnsi"/>
          <w:szCs w:val="22"/>
        </w:rPr>
      </w:pPr>
      <w:r w:rsidRPr="00FF5B27">
        <w:rPr>
          <w:rFonts w:asciiTheme="minorHAnsi" w:hAnsiTheme="minorHAnsi"/>
          <w:szCs w:val="22"/>
        </w:rPr>
        <w:t xml:space="preserve">Pursuant to Administrative Rules of Montana (Mont. Admin. R.) 6.6.6811, all nonRRG captive insurers shall have an annual audit by an independent certified public accountant authorized by the Commissioner and shall file such audited financial report with the Commissioner on or before June 30 for the year ending December 31 immediately preceding.    </w:t>
      </w:r>
    </w:p>
    <w:p w14:paraId="1233693E" w14:textId="68223106" w:rsidR="00840BB1" w:rsidRPr="00FF5B27" w:rsidRDefault="00CA4BAE">
      <w:pPr>
        <w:ind w:left="1"/>
        <w:rPr>
          <w:rFonts w:asciiTheme="minorHAnsi" w:hAnsiTheme="minorHAnsi"/>
          <w:szCs w:val="22"/>
        </w:rPr>
      </w:pPr>
      <w:r w:rsidRPr="00FF5B27">
        <w:rPr>
          <w:rFonts w:asciiTheme="minorHAnsi" w:hAnsiTheme="minorHAnsi"/>
          <w:szCs w:val="22"/>
        </w:rPr>
        <w:t xml:space="preserve">The annual CPA audit report shall be considered part of the captive insurer’s annual report </w:t>
      </w:r>
      <w:proofErr w:type="gramStart"/>
      <w:r w:rsidRPr="00FF5B27">
        <w:rPr>
          <w:rFonts w:asciiTheme="minorHAnsi" w:hAnsiTheme="minorHAnsi"/>
          <w:szCs w:val="22"/>
        </w:rPr>
        <w:t>of</w:t>
      </w:r>
      <w:proofErr w:type="gramEnd"/>
      <w:r w:rsidRPr="00FF5B27">
        <w:rPr>
          <w:rFonts w:asciiTheme="minorHAnsi" w:hAnsiTheme="minorHAnsi"/>
          <w:szCs w:val="22"/>
        </w:rPr>
        <w:t xml:space="preserve"> financial condition except with respect to the date by which it must be filed.  </w:t>
      </w:r>
    </w:p>
    <w:p w14:paraId="685D6322" w14:textId="77777777" w:rsidR="001062AB" w:rsidRDefault="00CA4BAE">
      <w:pPr>
        <w:ind w:left="1"/>
        <w:rPr>
          <w:rFonts w:asciiTheme="minorHAnsi" w:hAnsiTheme="minorHAnsi"/>
          <w:szCs w:val="22"/>
        </w:rPr>
      </w:pPr>
      <w:r w:rsidRPr="00FF5B27">
        <w:rPr>
          <w:rFonts w:asciiTheme="minorHAnsi" w:hAnsiTheme="minorHAnsi"/>
          <w:szCs w:val="22"/>
        </w:rPr>
        <w:t xml:space="preserve"> </w:t>
      </w:r>
    </w:p>
    <w:p w14:paraId="59591A9B" w14:textId="61B0F1F5" w:rsidR="00840BB1" w:rsidRPr="00FF5B27" w:rsidRDefault="00CA4BAE">
      <w:pPr>
        <w:ind w:left="1"/>
        <w:rPr>
          <w:rFonts w:asciiTheme="minorHAnsi" w:hAnsiTheme="minorHAnsi"/>
          <w:szCs w:val="22"/>
        </w:rPr>
      </w:pPr>
      <w:r w:rsidRPr="00FF5B27">
        <w:rPr>
          <w:rFonts w:asciiTheme="minorHAnsi" w:hAnsiTheme="minorHAnsi"/>
          <w:szCs w:val="22"/>
        </w:rPr>
        <w:lastRenderedPageBreak/>
        <w:t xml:space="preserve">The </w:t>
      </w:r>
      <w:r w:rsidRPr="00FF5B27">
        <w:rPr>
          <w:rFonts w:asciiTheme="minorHAnsi" w:hAnsiTheme="minorHAnsi"/>
          <w:b/>
          <w:szCs w:val="22"/>
        </w:rPr>
        <w:t>annual CPA audit</w:t>
      </w:r>
      <w:r w:rsidRPr="00FF5B27">
        <w:rPr>
          <w:rFonts w:asciiTheme="minorHAnsi" w:hAnsiTheme="minorHAnsi"/>
          <w:szCs w:val="22"/>
        </w:rPr>
        <w:t xml:space="preserve"> shall consist of the following: </w:t>
      </w:r>
    </w:p>
    <w:p w14:paraId="4A5E9728" w14:textId="77777777" w:rsidR="00840BB1" w:rsidRPr="00FF5B27" w:rsidRDefault="00CA4BAE">
      <w:pPr>
        <w:numPr>
          <w:ilvl w:val="0"/>
          <w:numId w:val="1"/>
        </w:numPr>
        <w:ind w:hanging="360"/>
        <w:rPr>
          <w:rFonts w:asciiTheme="minorHAnsi" w:hAnsiTheme="minorHAnsi"/>
          <w:szCs w:val="22"/>
        </w:rPr>
      </w:pPr>
      <w:r w:rsidRPr="00FF5B27">
        <w:rPr>
          <w:rFonts w:asciiTheme="minorHAnsi" w:hAnsiTheme="minorHAnsi"/>
          <w:szCs w:val="22"/>
        </w:rPr>
        <w:t>Financial statements furnished pursuant to this section shall be examined by an independent certified public accountant in accordance with generally accepted auditing standards as determined by the American Institute of Certified Public Accountants.</w:t>
      </w:r>
    </w:p>
    <w:p w14:paraId="29D9B41F" w14:textId="77777777" w:rsidR="00840BB1" w:rsidRPr="00FF5B27" w:rsidRDefault="00CA4BAE">
      <w:pPr>
        <w:numPr>
          <w:ilvl w:val="0"/>
          <w:numId w:val="1"/>
        </w:numPr>
        <w:ind w:hanging="360"/>
        <w:rPr>
          <w:rFonts w:asciiTheme="minorHAnsi" w:hAnsiTheme="minorHAnsi"/>
          <w:szCs w:val="22"/>
        </w:rPr>
      </w:pPr>
      <w:r w:rsidRPr="00FF5B27">
        <w:rPr>
          <w:rFonts w:asciiTheme="minorHAnsi" w:hAnsiTheme="minorHAnsi"/>
          <w:szCs w:val="22"/>
        </w:rPr>
        <w:t>The opinion of the independent certified public accountant shall cover all the years presented and shall be dated and addressed to the captive insurance company on the accountant’s stationery with accountant’s address and shall bear original manual signature.</w:t>
      </w:r>
    </w:p>
    <w:p w14:paraId="1FDFD3E5"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The </w:t>
      </w:r>
      <w:r w:rsidRPr="00FF5B27">
        <w:rPr>
          <w:rFonts w:asciiTheme="minorHAnsi" w:hAnsiTheme="minorHAnsi"/>
          <w:b/>
          <w:szCs w:val="22"/>
        </w:rPr>
        <w:t>annual CPA audit report</w:t>
      </w:r>
      <w:r w:rsidRPr="00FF5B27">
        <w:rPr>
          <w:rFonts w:asciiTheme="minorHAnsi" w:hAnsiTheme="minorHAnsi"/>
          <w:szCs w:val="22"/>
        </w:rPr>
        <w:t xml:space="preserve"> shall include an evaluation of the internal controls of the captive insurer relating to the methods and procedures used in the securing of assets and the reliability of the financial records, including but not limited to such controls as the system of authorization and approval and the separation of duties.    </w:t>
      </w:r>
    </w:p>
    <w:p w14:paraId="68D0A85E"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The accountant shall furnish the company, for inclusion in the filing of the audited financial report, a letter stating:  </w:t>
      </w:r>
    </w:p>
    <w:p w14:paraId="27D8167C" w14:textId="77777777" w:rsidR="00840BB1" w:rsidRPr="00FF5B27" w:rsidRDefault="00CA4BAE">
      <w:pPr>
        <w:numPr>
          <w:ilvl w:val="0"/>
          <w:numId w:val="2"/>
        </w:numPr>
        <w:spacing w:after="0"/>
        <w:ind w:hanging="360"/>
        <w:rPr>
          <w:rFonts w:asciiTheme="minorHAnsi" w:hAnsiTheme="minorHAnsi"/>
          <w:szCs w:val="22"/>
        </w:rPr>
      </w:pPr>
      <w:r w:rsidRPr="00FF5B27">
        <w:rPr>
          <w:rFonts w:asciiTheme="minorHAnsi" w:hAnsiTheme="minorHAnsi"/>
          <w:szCs w:val="22"/>
        </w:rPr>
        <w:t>That it is independent with respect to the captive insurance company and conforms to the standards of the profession, as contained in the Code of</w:t>
      </w:r>
    </w:p>
    <w:p w14:paraId="27E361F3" w14:textId="77777777" w:rsidR="00840BB1" w:rsidRPr="00FF5B27" w:rsidRDefault="00CA4BAE">
      <w:pPr>
        <w:ind w:left="736"/>
        <w:rPr>
          <w:rFonts w:asciiTheme="minorHAnsi" w:hAnsiTheme="minorHAnsi"/>
          <w:szCs w:val="22"/>
        </w:rPr>
      </w:pPr>
      <w:r w:rsidRPr="00FF5B27">
        <w:rPr>
          <w:rFonts w:asciiTheme="minorHAnsi" w:hAnsiTheme="minorHAnsi"/>
          <w:szCs w:val="22"/>
        </w:rPr>
        <w:t>Professional Ethics and pronouncements of the American Institute of Certified Public Accountants and pronouncements of the Financial Accounting Standards Board.</w:t>
      </w:r>
    </w:p>
    <w:p w14:paraId="59316504" w14:textId="77777777" w:rsidR="00840BB1" w:rsidRPr="00FF5B27" w:rsidRDefault="00CA4BAE">
      <w:pPr>
        <w:numPr>
          <w:ilvl w:val="0"/>
          <w:numId w:val="2"/>
        </w:numPr>
        <w:ind w:hanging="360"/>
        <w:rPr>
          <w:rFonts w:asciiTheme="minorHAnsi" w:hAnsiTheme="minorHAnsi"/>
          <w:szCs w:val="22"/>
        </w:rPr>
      </w:pPr>
      <w:r w:rsidRPr="00FF5B27">
        <w:rPr>
          <w:rFonts w:asciiTheme="minorHAnsi" w:hAnsiTheme="minorHAnsi"/>
          <w:szCs w:val="22"/>
        </w:rPr>
        <w:t>The general background and experience of the staff engaged in the audit including the experience in auditing captives or other insurance companies.</w:t>
      </w:r>
    </w:p>
    <w:p w14:paraId="56FD3E11" w14:textId="77777777" w:rsidR="00840BB1" w:rsidRPr="00FF5B27" w:rsidRDefault="00CA4BAE">
      <w:pPr>
        <w:numPr>
          <w:ilvl w:val="0"/>
          <w:numId w:val="2"/>
        </w:numPr>
        <w:ind w:hanging="360"/>
        <w:rPr>
          <w:rFonts w:asciiTheme="minorHAnsi" w:hAnsiTheme="minorHAnsi"/>
          <w:szCs w:val="22"/>
        </w:rPr>
      </w:pPr>
      <w:r w:rsidRPr="00FF5B27">
        <w:rPr>
          <w:rFonts w:asciiTheme="minorHAnsi" w:hAnsiTheme="minorHAnsi"/>
          <w:szCs w:val="22"/>
        </w:rPr>
        <w:t>That the accountant understands that the audited annual report and the accountant’s opinion thereon will be filed with the CSI.</w:t>
      </w:r>
    </w:p>
    <w:p w14:paraId="4C42F66E" w14:textId="77777777" w:rsidR="00840BB1" w:rsidRPr="00FF5B27" w:rsidRDefault="00CA4BAE">
      <w:pPr>
        <w:numPr>
          <w:ilvl w:val="0"/>
          <w:numId w:val="2"/>
        </w:numPr>
        <w:spacing w:after="3"/>
        <w:ind w:hanging="360"/>
        <w:rPr>
          <w:rFonts w:asciiTheme="minorHAnsi" w:hAnsiTheme="minorHAnsi"/>
          <w:szCs w:val="22"/>
        </w:rPr>
      </w:pPr>
      <w:r w:rsidRPr="00FF5B27">
        <w:rPr>
          <w:rFonts w:asciiTheme="minorHAnsi" w:hAnsiTheme="minorHAnsi"/>
          <w:szCs w:val="22"/>
        </w:rPr>
        <w:t>That the accountant consents to the requirements of Mont. Admin. R.</w:t>
      </w:r>
    </w:p>
    <w:p w14:paraId="3FF4B526" w14:textId="77777777" w:rsidR="00840BB1" w:rsidRPr="00FF5B27" w:rsidRDefault="00CA4BAE">
      <w:pPr>
        <w:ind w:left="736"/>
        <w:rPr>
          <w:rFonts w:asciiTheme="minorHAnsi" w:hAnsiTheme="minorHAnsi"/>
          <w:szCs w:val="22"/>
        </w:rPr>
      </w:pPr>
      <w:r w:rsidRPr="00FF5B27">
        <w:rPr>
          <w:rFonts w:asciiTheme="minorHAnsi" w:hAnsiTheme="minorHAnsi"/>
          <w:szCs w:val="22"/>
        </w:rPr>
        <w:t>6.6.6819.</w:t>
      </w:r>
    </w:p>
    <w:p w14:paraId="685F7A01" w14:textId="30FF4636" w:rsidR="00A549E2" w:rsidRPr="00FF5B27" w:rsidRDefault="00CA4BAE" w:rsidP="00FF5B27">
      <w:pPr>
        <w:numPr>
          <w:ilvl w:val="0"/>
          <w:numId w:val="2"/>
        </w:numPr>
        <w:spacing w:after="160" w:line="278" w:lineRule="auto"/>
        <w:ind w:left="720" w:hanging="360"/>
        <w:rPr>
          <w:rFonts w:asciiTheme="minorHAnsi" w:hAnsiTheme="minorHAnsi"/>
          <w:szCs w:val="22"/>
        </w:rPr>
      </w:pPr>
      <w:r w:rsidRPr="00FF5B27">
        <w:rPr>
          <w:rFonts w:asciiTheme="minorHAnsi" w:hAnsiTheme="minorHAnsi"/>
          <w:szCs w:val="22"/>
        </w:rPr>
        <w:t xml:space="preserve">That the accountant is properly licensed by the appropriate state licensing authority and is a </w:t>
      </w:r>
      <w:r w:rsidR="00FF5B27">
        <w:rPr>
          <w:rFonts w:asciiTheme="minorHAnsi" w:hAnsiTheme="minorHAnsi"/>
          <w:szCs w:val="22"/>
        </w:rPr>
        <w:t>m</w:t>
      </w:r>
      <w:r w:rsidRPr="00FF5B27">
        <w:rPr>
          <w:rFonts w:asciiTheme="minorHAnsi" w:hAnsiTheme="minorHAnsi"/>
          <w:szCs w:val="22"/>
        </w:rPr>
        <w:t>ember in good standing with the American Institute of Certified Public Accountants.</w:t>
      </w:r>
    </w:p>
    <w:p w14:paraId="1D9A83DD" w14:textId="58E1C56B" w:rsidR="00840BB1" w:rsidRPr="00FF5B27" w:rsidRDefault="00CA4BAE">
      <w:pPr>
        <w:ind w:left="1"/>
        <w:rPr>
          <w:rFonts w:asciiTheme="minorHAnsi" w:hAnsiTheme="minorHAnsi"/>
          <w:szCs w:val="22"/>
        </w:rPr>
      </w:pPr>
      <w:r w:rsidRPr="00FF5B27">
        <w:rPr>
          <w:rFonts w:asciiTheme="minorHAnsi" w:hAnsiTheme="minorHAnsi"/>
          <w:szCs w:val="22"/>
        </w:rPr>
        <w:t xml:space="preserve">The </w:t>
      </w:r>
      <w:r w:rsidRPr="00FF5B27">
        <w:rPr>
          <w:rFonts w:asciiTheme="minorHAnsi" w:hAnsiTheme="minorHAnsi"/>
          <w:b/>
          <w:szCs w:val="22"/>
        </w:rPr>
        <w:t>annual CPA audit</w:t>
      </w:r>
      <w:r w:rsidRPr="00FF5B27">
        <w:rPr>
          <w:rFonts w:asciiTheme="minorHAnsi" w:hAnsiTheme="minorHAnsi"/>
          <w:szCs w:val="22"/>
        </w:rPr>
        <w:t xml:space="preserve"> shall include the following financial statements: </w:t>
      </w:r>
    </w:p>
    <w:p w14:paraId="4BC18A41" w14:textId="77777777" w:rsidR="00840BB1" w:rsidRPr="004A25E0" w:rsidRDefault="00CA4BAE" w:rsidP="004A25E0">
      <w:pPr>
        <w:pStyle w:val="ListParagraph"/>
        <w:numPr>
          <w:ilvl w:val="0"/>
          <w:numId w:val="6"/>
        </w:numPr>
        <w:rPr>
          <w:rFonts w:asciiTheme="minorHAnsi" w:hAnsiTheme="minorHAnsi"/>
          <w:szCs w:val="22"/>
        </w:rPr>
      </w:pPr>
      <w:r w:rsidRPr="004A25E0">
        <w:rPr>
          <w:rFonts w:asciiTheme="minorHAnsi" w:hAnsiTheme="minorHAnsi"/>
          <w:szCs w:val="22"/>
        </w:rPr>
        <w:t xml:space="preserve">Balance </w:t>
      </w:r>
      <w:proofErr w:type="gramStart"/>
      <w:r w:rsidRPr="004A25E0">
        <w:rPr>
          <w:rFonts w:asciiTheme="minorHAnsi" w:hAnsiTheme="minorHAnsi"/>
          <w:szCs w:val="22"/>
        </w:rPr>
        <w:t>sheet;</w:t>
      </w:r>
      <w:proofErr w:type="gramEnd"/>
    </w:p>
    <w:p w14:paraId="5AE1B8B4" w14:textId="77777777" w:rsidR="00840BB1" w:rsidRPr="004A25E0" w:rsidRDefault="00CA4BAE" w:rsidP="004A25E0">
      <w:pPr>
        <w:pStyle w:val="ListParagraph"/>
        <w:numPr>
          <w:ilvl w:val="0"/>
          <w:numId w:val="6"/>
        </w:numPr>
        <w:rPr>
          <w:rFonts w:asciiTheme="minorHAnsi" w:hAnsiTheme="minorHAnsi"/>
          <w:szCs w:val="22"/>
        </w:rPr>
      </w:pPr>
      <w:r w:rsidRPr="004A25E0">
        <w:rPr>
          <w:rFonts w:asciiTheme="minorHAnsi" w:hAnsiTheme="minorHAnsi"/>
          <w:szCs w:val="22"/>
        </w:rPr>
        <w:t xml:space="preserve">Statement of </w:t>
      </w:r>
      <w:proofErr w:type="gramStart"/>
      <w:r w:rsidRPr="004A25E0">
        <w:rPr>
          <w:rFonts w:asciiTheme="minorHAnsi" w:hAnsiTheme="minorHAnsi"/>
          <w:szCs w:val="22"/>
        </w:rPr>
        <w:t>operations;</w:t>
      </w:r>
      <w:proofErr w:type="gramEnd"/>
    </w:p>
    <w:p w14:paraId="443A06B3" w14:textId="5C14319B" w:rsidR="004A25E0" w:rsidRPr="004A25E0" w:rsidRDefault="00CA4BAE" w:rsidP="004A25E0">
      <w:pPr>
        <w:pStyle w:val="ListParagraph"/>
        <w:numPr>
          <w:ilvl w:val="0"/>
          <w:numId w:val="6"/>
        </w:numPr>
        <w:tabs>
          <w:tab w:val="left" w:pos="720"/>
        </w:tabs>
        <w:spacing w:after="0"/>
        <w:rPr>
          <w:rFonts w:asciiTheme="minorHAnsi" w:hAnsiTheme="minorHAnsi"/>
          <w:szCs w:val="22"/>
        </w:rPr>
      </w:pPr>
      <w:r w:rsidRPr="004A25E0">
        <w:rPr>
          <w:rFonts w:asciiTheme="minorHAnsi" w:hAnsiTheme="minorHAnsi"/>
          <w:szCs w:val="22"/>
        </w:rPr>
        <w:t xml:space="preserve">Statement of changes in financial </w:t>
      </w:r>
      <w:proofErr w:type="gramStart"/>
      <w:r w:rsidRPr="004A25E0">
        <w:rPr>
          <w:rFonts w:asciiTheme="minorHAnsi" w:hAnsiTheme="minorHAnsi"/>
          <w:szCs w:val="22"/>
        </w:rPr>
        <w:t>position;</w:t>
      </w:r>
      <w:proofErr w:type="gramEnd"/>
      <w:r w:rsidR="004A25E0" w:rsidRPr="004A25E0">
        <w:rPr>
          <w:rFonts w:asciiTheme="minorHAnsi" w:hAnsiTheme="minorHAnsi"/>
          <w:szCs w:val="22"/>
        </w:rPr>
        <w:t xml:space="preserve"> </w:t>
      </w:r>
    </w:p>
    <w:p w14:paraId="715F3854" w14:textId="4429CD07" w:rsidR="00840BB1" w:rsidRDefault="00CA4BAE" w:rsidP="00690B0B">
      <w:pPr>
        <w:pStyle w:val="ListParagraph"/>
        <w:numPr>
          <w:ilvl w:val="0"/>
          <w:numId w:val="6"/>
        </w:numPr>
        <w:tabs>
          <w:tab w:val="left" w:pos="735"/>
        </w:tabs>
        <w:spacing w:after="0"/>
        <w:ind w:hanging="375"/>
        <w:rPr>
          <w:rFonts w:asciiTheme="minorHAnsi" w:hAnsiTheme="minorHAnsi"/>
          <w:szCs w:val="22"/>
        </w:rPr>
      </w:pPr>
      <w:r w:rsidRPr="00690B0B">
        <w:rPr>
          <w:rFonts w:asciiTheme="minorHAnsi" w:hAnsiTheme="minorHAnsi"/>
          <w:szCs w:val="22"/>
        </w:rPr>
        <w:t>Statement of changes in paid up, gross paid in and contributed surplus and unassigned funds (surplus); and</w:t>
      </w:r>
      <w:r w:rsidR="00160C6D" w:rsidRPr="00690B0B">
        <w:rPr>
          <w:rFonts w:asciiTheme="minorHAnsi" w:hAnsiTheme="minorHAnsi"/>
          <w:szCs w:val="22"/>
        </w:rPr>
        <w:t xml:space="preserve"> </w:t>
      </w:r>
      <w:r w:rsidR="00690B0B">
        <w:rPr>
          <w:rFonts w:asciiTheme="minorHAnsi" w:hAnsiTheme="minorHAnsi"/>
          <w:szCs w:val="22"/>
        </w:rPr>
        <w:t>n</w:t>
      </w:r>
      <w:r w:rsidRPr="00690B0B">
        <w:rPr>
          <w:rFonts w:asciiTheme="minorHAnsi" w:hAnsiTheme="minorHAnsi"/>
          <w:szCs w:val="22"/>
        </w:rPr>
        <w:t>otes to financial statements, which shall include those that are required by GAAP, including</w:t>
      </w:r>
      <w:r w:rsidR="004A25E0" w:rsidRPr="00690B0B">
        <w:rPr>
          <w:rFonts w:asciiTheme="minorHAnsi" w:hAnsiTheme="minorHAnsi"/>
          <w:szCs w:val="22"/>
        </w:rPr>
        <w:t>:</w:t>
      </w:r>
      <w:r w:rsidR="00690B0B" w:rsidRPr="00690B0B">
        <w:rPr>
          <w:rFonts w:asciiTheme="minorHAnsi" w:hAnsiTheme="minorHAnsi"/>
          <w:szCs w:val="22"/>
        </w:rPr>
        <w:t xml:space="preserve"> (1) </w:t>
      </w:r>
      <w:r w:rsidR="004A25E0" w:rsidRPr="00690B0B">
        <w:rPr>
          <w:rFonts w:asciiTheme="minorHAnsi" w:hAnsiTheme="minorHAnsi"/>
          <w:szCs w:val="22"/>
        </w:rPr>
        <w:t>A</w:t>
      </w:r>
      <w:r w:rsidRPr="00690B0B">
        <w:rPr>
          <w:rFonts w:asciiTheme="minorHAnsi" w:hAnsiTheme="minorHAnsi"/>
          <w:szCs w:val="22"/>
        </w:rPr>
        <w:t xml:space="preserve"> reconciliation of differences, if any, between the audited financial report and the statement or form filed with the Commissioner (i.e., unaudited statement).</w:t>
      </w:r>
      <w:r w:rsidR="00690B0B" w:rsidRPr="00690B0B">
        <w:rPr>
          <w:rFonts w:asciiTheme="minorHAnsi" w:hAnsiTheme="minorHAnsi"/>
          <w:szCs w:val="22"/>
        </w:rPr>
        <w:t xml:space="preserve"> (2) </w:t>
      </w:r>
      <w:r w:rsidRPr="00690B0B">
        <w:rPr>
          <w:rFonts w:asciiTheme="minorHAnsi" w:hAnsiTheme="minorHAnsi"/>
          <w:szCs w:val="22"/>
        </w:rPr>
        <w:t xml:space="preserve">A summary of ownership and </w:t>
      </w:r>
      <w:proofErr w:type="gramStart"/>
      <w:r w:rsidRPr="00690B0B">
        <w:rPr>
          <w:rFonts w:asciiTheme="minorHAnsi" w:hAnsiTheme="minorHAnsi"/>
          <w:szCs w:val="22"/>
        </w:rPr>
        <w:t>relationship</w:t>
      </w:r>
      <w:proofErr w:type="gramEnd"/>
      <w:r w:rsidRPr="00690B0B">
        <w:rPr>
          <w:rFonts w:asciiTheme="minorHAnsi" w:hAnsiTheme="minorHAnsi"/>
          <w:szCs w:val="22"/>
        </w:rPr>
        <w:t xml:space="preserve"> of the company and all affiliated corporations or companies insured by the captive.</w:t>
      </w:r>
    </w:p>
    <w:p w14:paraId="23478699" w14:textId="77777777" w:rsidR="00114ECA" w:rsidRPr="00690B0B" w:rsidRDefault="00114ECA" w:rsidP="00114ECA">
      <w:pPr>
        <w:pStyle w:val="ListParagraph"/>
        <w:tabs>
          <w:tab w:val="left" w:pos="735"/>
        </w:tabs>
        <w:spacing w:after="0"/>
        <w:ind w:left="735" w:firstLine="0"/>
        <w:rPr>
          <w:rFonts w:asciiTheme="minorHAnsi" w:hAnsiTheme="minorHAnsi"/>
          <w:szCs w:val="22"/>
        </w:rPr>
      </w:pPr>
    </w:p>
    <w:p w14:paraId="6D00E307" w14:textId="77777777" w:rsidR="00840BB1" w:rsidRPr="00FF5B27" w:rsidRDefault="00CA4BAE">
      <w:pPr>
        <w:pStyle w:val="Heading1"/>
        <w:ind w:left="360" w:hanging="360"/>
        <w:rPr>
          <w:rFonts w:asciiTheme="minorHAnsi" w:hAnsiTheme="minorHAnsi"/>
          <w:szCs w:val="22"/>
        </w:rPr>
      </w:pPr>
      <w:r w:rsidRPr="00FF5B27">
        <w:rPr>
          <w:rFonts w:asciiTheme="minorHAnsi" w:hAnsiTheme="minorHAnsi"/>
          <w:szCs w:val="22"/>
        </w:rPr>
        <w:lastRenderedPageBreak/>
        <w:t>Actuarial Opinion</w:t>
      </w:r>
    </w:p>
    <w:p w14:paraId="56126EC4"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Pursuant to Mont. Admin. R. 6.6.6816, the annual CPA audit shall include an opinion as to the adequacy of the captive insurer’s loss reserves and loss expense reserves.  The individual who certifies as to the adequacy of the reserves shall be approved by the Commissioner and shall be a member of the Casualty Actuarial Society, a member in good standing of the Academy of Actuaries, or an individual who has demonstrated competence in loss reserve evaluation to the Commissioner.  </w:t>
      </w:r>
    </w:p>
    <w:p w14:paraId="1C302C59"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The required opinion may follow the NAIC Annual Statement Instructions but is not required to do so.  For non-RRG opinions that do not follow the NAIC Annual Statement Instructions, the actuary must still state his or her “opinion” regarding the sufficiency of the company’s loss reserves and loss expense reserves, and the actuary must sign such opinion.  </w:t>
      </w:r>
    </w:p>
    <w:p w14:paraId="7F220F52" w14:textId="77777777" w:rsidR="00840BB1" w:rsidRPr="00FF5B27" w:rsidRDefault="00CA4BAE">
      <w:pPr>
        <w:pStyle w:val="Heading1"/>
        <w:ind w:left="360" w:hanging="360"/>
        <w:rPr>
          <w:rFonts w:asciiTheme="minorHAnsi" w:hAnsiTheme="minorHAnsi"/>
          <w:szCs w:val="22"/>
        </w:rPr>
      </w:pPr>
      <w:r w:rsidRPr="00FF5B27">
        <w:rPr>
          <w:rFonts w:asciiTheme="minorHAnsi" w:hAnsiTheme="minorHAnsi"/>
          <w:szCs w:val="22"/>
        </w:rPr>
        <w:t>Special Instructions for Cell Reporting</w:t>
      </w:r>
    </w:p>
    <w:p w14:paraId="58B2B772" w14:textId="1EB64DFE" w:rsidR="00840BB1" w:rsidRPr="00FF5B27" w:rsidRDefault="00CA4BAE">
      <w:pPr>
        <w:ind w:left="1"/>
        <w:rPr>
          <w:rFonts w:asciiTheme="minorHAnsi" w:hAnsiTheme="minorHAnsi"/>
          <w:szCs w:val="22"/>
        </w:rPr>
      </w:pPr>
      <w:r w:rsidRPr="00FF5B27">
        <w:rPr>
          <w:rFonts w:asciiTheme="minorHAnsi" w:hAnsiTheme="minorHAnsi"/>
          <w:szCs w:val="22"/>
        </w:rPr>
        <w:t>Each Protected Cell Captive Insurance Company (PCC core) and each protected cell (cell) affiliated with the PCC core shall file separate unaudited financial statements on the Montana Short Form on or before April 1st</w:t>
      </w:r>
      <w:r w:rsidRPr="00FF5B27">
        <w:rPr>
          <w:rFonts w:asciiTheme="minorHAnsi" w:hAnsiTheme="minorHAnsi"/>
          <w:szCs w:val="22"/>
          <w:vertAlign w:val="superscript"/>
        </w:rPr>
        <w:t xml:space="preserve"> </w:t>
      </w:r>
      <w:r w:rsidRPr="00FF5B27">
        <w:rPr>
          <w:rFonts w:asciiTheme="minorHAnsi" w:hAnsiTheme="minorHAnsi"/>
          <w:szCs w:val="22"/>
        </w:rPr>
        <w:t xml:space="preserve">of each year.  For example, if there </w:t>
      </w:r>
      <w:proofErr w:type="gramStart"/>
      <w:r w:rsidRPr="00FF5B27">
        <w:rPr>
          <w:rFonts w:asciiTheme="minorHAnsi" w:hAnsiTheme="minorHAnsi"/>
          <w:szCs w:val="22"/>
        </w:rPr>
        <w:t>is</w:t>
      </w:r>
      <w:proofErr w:type="gramEnd"/>
      <w:r w:rsidRPr="00FF5B27">
        <w:rPr>
          <w:rFonts w:asciiTheme="minorHAnsi" w:hAnsiTheme="minorHAnsi"/>
          <w:szCs w:val="22"/>
        </w:rPr>
        <w:t xml:space="preserve"> a PCC core and two cells, then the PCC core files an unaudited financial statement to </w:t>
      </w:r>
      <w:r w:rsidR="001062AB" w:rsidRPr="00FF5B27">
        <w:rPr>
          <w:rFonts w:asciiTheme="minorHAnsi" w:hAnsiTheme="minorHAnsi"/>
          <w:szCs w:val="22"/>
        </w:rPr>
        <w:t>report on</w:t>
      </w:r>
      <w:r w:rsidRPr="00FF5B27">
        <w:rPr>
          <w:rFonts w:asciiTheme="minorHAnsi" w:hAnsiTheme="minorHAnsi"/>
          <w:szCs w:val="22"/>
        </w:rPr>
        <w:t xml:space="preserve"> its own business, and each cell files an unaudited financial statement to report the cell’s business.    </w:t>
      </w:r>
    </w:p>
    <w:p w14:paraId="5B347797" w14:textId="31D853ED" w:rsidR="00840BB1" w:rsidRPr="00FF5B27" w:rsidRDefault="00CA4BAE">
      <w:pPr>
        <w:ind w:left="1"/>
        <w:rPr>
          <w:rFonts w:asciiTheme="minorHAnsi" w:hAnsiTheme="minorHAnsi"/>
          <w:szCs w:val="22"/>
        </w:rPr>
      </w:pPr>
      <w:r w:rsidRPr="00FF5B27">
        <w:rPr>
          <w:rFonts w:asciiTheme="minorHAnsi" w:hAnsiTheme="minorHAnsi"/>
          <w:szCs w:val="22"/>
        </w:rPr>
        <w:t>Each PCC core shall file “combined”</w:t>
      </w:r>
      <w:r w:rsidRPr="00FF5B27">
        <w:rPr>
          <w:rFonts w:asciiTheme="minorHAnsi" w:hAnsiTheme="minorHAnsi"/>
          <w:szCs w:val="22"/>
          <w:vertAlign w:val="superscript"/>
        </w:rPr>
        <w:t xml:space="preserve"> </w:t>
      </w:r>
      <w:r w:rsidRPr="00FF5B27">
        <w:rPr>
          <w:rFonts w:asciiTheme="minorHAnsi" w:hAnsiTheme="minorHAnsi"/>
          <w:szCs w:val="22"/>
        </w:rPr>
        <w:t>audited financial statements with the CSI on or before June 30</w:t>
      </w:r>
      <w:r w:rsidRPr="00FF5B27">
        <w:rPr>
          <w:rFonts w:asciiTheme="minorHAnsi" w:hAnsiTheme="minorHAnsi"/>
          <w:szCs w:val="22"/>
          <w:vertAlign w:val="superscript"/>
        </w:rPr>
        <w:t xml:space="preserve"> </w:t>
      </w:r>
      <w:r w:rsidRPr="00FF5B27">
        <w:rPr>
          <w:rFonts w:asciiTheme="minorHAnsi" w:hAnsiTheme="minorHAnsi"/>
          <w:szCs w:val="22"/>
        </w:rPr>
        <w:t xml:space="preserve">of each year. The auditor shall express an opinion on the combined assets, liabilities, capital and surplus of the PCC core and each cell. The detailed assets, liabilities, and capital and surplus balances of the PCC core and each cell shall be disclosed in a supplemental schedule to the financial statements.   </w:t>
      </w:r>
    </w:p>
    <w:p w14:paraId="06DCBA45"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Each individual cell shall file an actuarial opinion, certifying the adequacy of the loss reserves and LAE reserves on or before June 30 of each year.  An actuarial opinion would also be required for the PCC core, if the PCC core is at risk, i.e., has loss reserves.  </w:t>
      </w:r>
    </w:p>
    <w:p w14:paraId="5CE29772" w14:textId="77777777" w:rsidR="00840BB1" w:rsidRPr="00FF5B27" w:rsidRDefault="00CA4BAE">
      <w:pPr>
        <w:pStyle w:val="Heading1"/>
        <w:ind w:left="356" w:hanging="356"/>
        <w:rPr>
          <w:rFonts w:asciiTheme="minorHAnsi" w:hAnsiTheme="minorHAnsi"/>
          <w:szCs w:val="22"/>
        </w:rPr>
      </w:pPr>
      <w:r w:rsidRPr="00FF5B27">
        <w:rPr>
          <w:rFonts w:asciiTheme="minorHAnsi" w:hAnsiTheme="minorHAnsi"/>
          <w:szCs w:val="22"/>
        </w:rPr>
        <w:t xml:space="preserve">Special Instructions for </w:t>
      </w:r>
      <w:proofErr w:type="gramStart"/>
      <w:r w:rsidRPr="00FF5B27">
        <w:rPr>
          <w:rFonts w:asciiTheme="minorHAnsi" w:hAnsiTheme="minorHAnsi"/>
          <w:szCs w:val="22"/>
        </w:rPr>
        <w:t>Series LLC Reporting</w:t>
      </w:r>
      <w:proofErr w:type="gramEnd"/>
    </w:p>
    <w:p w14:paraId="7BD8DAF5" w14:textId="77777777" w:rsidR="00840BB1" w:rsidRPr="00FF5B27" w:rsidRDefault="00CA4BAE">
      <w:pPr>
        <w:spacing w:after="275"/>
        <w:ind w:left="1"/>
        <w:rPr>
          <w:rFonts w:asciiTheme="minorHAnsi" w:hAnsiTheme="minorHAnsi"/>
          <w:szCs w:val="22"/>
        </w:rPr>
      </w:pPr>
      <w:r w:rsidRPr="00FF5B27">
        <w:rPr>
          <w:rFonts w:asciiTheme="minorHAnsi" w:hAnsiTheme="minorHAnsi"/>
          <w:szCs w:val="22"/>
        </w:rPr>
        <w:t>A Series LLC (Series core) and its series business unit(s) (SBU) may file “combined” unaudited financial statements on the Montana Short Form on or before April 1st</w:t>
      </w:r>
      <w:r w:rsidRPr="00FF5B27">
        <w:rPr>
          <w:rFonts w:asciiTheme="minorHAnsi" w:hAnsiTheme="minorHAnsi"/>
          <w:szCs w:val="22"/>
          <w:vertAlign w:val="superscript"/>
        </w:rPr>
        <w:t xml:space="preserve"> </w:t>
      </w:r>
      <w:r w:rsidRPr="00FF5B27">
        <w:rPr>
          <w:rFonts w:asciiTheme="minorHAnsi" w:hAnsiTheme="minorHAnsi"/>
          <w:szCs w:val="22"/>
        </w:rPr>
        <w:t xml:space="preserve">of each year.    </w:t>
      </w:r>
    </w:p>
    <w:p w14:paraId="4954F472" w14:textId="77777777" w:rsidR="00840BB1" w:rsidRPr="00FF5B27" w:rsidRDefault="00CA4BAE">
      <w:pPr>
        <w:ind w:left="1"/>
        <w:rPr>
          <w:rFonts w:asciiTheme="minorHAnsi" w:hAnsiTheme="minorHAnsi"/>
          <w:szCs w:val="22"/>
        </w:rPr>
      </w:pPr>
      <w:r w:rsidRPr="00FF5B27">
        <w:rPr>
          <w:rFonts w:asciiTheme="minorHAnsi" w:hAnsiTheme="minorHAnsi"/>
          <w:szCs w:val="22"/>
        </w:rPr>
        <w:t>Each Series core shall file “combined”</w:t>
      </w:r>
      <w:r w:rsidRPr="00FF5B27">
        <w:rPr>
          <w:rFonts w:asciiTheme="minorHAnsi" w:hAnsiTheme="minorHAnsi"/>
          <w:szCs w:val="22"/>
          <w:vertAlign w:val="superscript"/>
        </w:rPr>
        <w:t xml:space="preserve"> </w:t>
      </w:r>
      <w:r w:rsidRPr="00FF5B27">
        <w:rPr>
          <w:rFonts w:asciiTheme="minorHAnsi" w:hAnsiTheme="minorHAnsi"/>
          <w:szCs w:val="22"/>
        </w:rPr>
        <w:t>audited financial statements with the CSI on or before June 30</w:t>
      </w:r>
      <w:r w:rsidRPr="00FF5B27">
        <w:rPr>
          <w:rFonts w:asciiTheme="minorHAnsi" w:hAnsiTheme="minorHAnsi"/>
          <w:szCs w:val="22"/>
          <w:vertAlign w:val="superscript"/>
        </w:rPr>
        <w:t xml:space="preserve"> </w:t>
      </w:r>
      <w:r w:rsidRPr="00FF5B27">
        <w:rPr>
          <w:rFonts w:asciiTheme="minorHAnsi" w:hAnsiTheme="minorHAnsi"/>
          <w:szCs w:val="22"/>
        </w:rPr>
        <w:t xml:space="preserve">of each year. The auditor shall express an opinion on the combined assets, liabilities, capital and surplus of the Series core and each SBU. The detailed assets, liabilities, and capital and surplus balances of the Series core and each SBU shall be disclosed in a supplemental schedule to the financial statements.  </w:t>
      </w:r>
    </w:p>
    <w:p w14:paraId="5B32949A" w14:textId="7D92C8C1" w:rsidR="00840BB1" w:rsidRPr="00FF5B27" w:rsidRDefault="00CA4BAE">
      <w:pPr>
        <w:ind w:left="1"/>
        <w:rPr>
          <w:rFonts w:asciiTheme="minorHAnsi" w:hAnsiTheme="minorHAnsi"/>
          <w:szCs w:val="22"/>
        </w:rPr>
      </w:pPr>
      <w:r w:rsidRPr="00FF5B27">
        <w:rPr>
          <w:rFonts w:asciiTheme="minorHAnsi" w:hAnsiTheme="minorHAnsi"/>
          <w:szCs w:val="22"/>
        </w:rPr>
        <w:t xml:space="preserve">Each individual SBU shall file an actuarial </w:t>
      </w:r>
      <w:r w:rsidR="001062AB" w:rsidRPr="00FF5B27">
        <w:rPr>
          <w:rFonts w:asciiTheme="minorHAnsi" w:hAnsiTheme="minorHAnsi"/>
          <w:szCs w:val="22"/>
        </w:rPr>
        <w:t>opinion</w:t>
      </w:r>
      <w:r w:rsidRPr="00FF5B27">
        <w:rPr>
          <w:rFonts w:asciiTheme="minorHAnsi" w:hAnsiTheme="minorHAnsi"/>
          <w:szCs w:val="22"/>
        </w:rPr>
        <w:t xml:space="preserve"> certifying the adequacy of the loss reserves and LAE reserves on or before June 30 of each year.  An actuarial opinion would also be required for the Series core, if the Series core is at risk, i.e., has loss reserves.    </w:t>
      </w:r>
    </w:p>
    <w:p w14:paraId="3E7BB3F5" w14:textId="77777777" w:rsidR="00840BB1" w:rsidRPr="00FF5B27" w:rsidRDefault="00CA4BAE">
      <w:pPr>
        <w:pStyle w:val="Heading1"/>
        <w:ind w:left="304" w:hanging="304"/>
        <w:rPr>
          <w:rFonts w:asciiTheme="minorHAnsi" w:hAnsiTheme="minorHAnsi"/>
          <w:szCs w:val="22"/>
        </w:rPr>
      </w:pPr>
      <w:r w:rsidRPr="00FF5B27">
        <w:rPr>
          <w:rFonts w:asciiTheme="minorHAnsi" w:hAnsiTheme="minorHAnsi"/>
          <w:szCs w:val="22"/>
        </w:rPr>
        <w:lastRenderedPageBreak/>
        <w:t>Filing Instructions</w:t>
      </w:r>
    </w:p>
    <w:p w14:paraId="2AB399F1" w14:textId="73BBAFF3" w:rsidR="00840BB1" w:rsidRPr="00FF5B27" w:rsidRDefault="00A549E2">
      <w:pPr>
        <w:ind w:left="1"/>
        <w:rPr>
          <w:rFonts w:asciiTheme="minorHAnsi" w:hAnsiTheme="minorHAnsi"/>
          <w:szCs w:val="22"/>
        </w:rPr>
      </w:pPr>
      <w:r w:rsidRPr="00FF5B27">
        <w:rPr>
          <w:rFonts w:asciiTheme="minorHAnsi" w:hAnsiTheme="minorHAnsi"/>
          <w:szCs w:val="22"/>
        </w:rPr>
        <w:t>An</w:t>
      </w:r>
      <w:r w:rsidR="00CA4BAE" w:rsidRPr="00FF5B27">
        <w:rPr>
          <w:rFonts w:asciiTheme="minorHAnsi" w:hAnsiTheme="minorHAnsi"/>
          <w:szCs w:val="22"/>
        </w:rPr>
        <w:t xml:space="preserve"> electronic copy of the annual statement should be filed with </w:t>
      </w:r>
      <w:r w:rsidR="00C31613" w:rsidRPr="00FF5B27">
        <w:rPr>
          <w:rFonts w:asciiTheme="minorHAnsi" w:hAnsiTheme="minorHAnsi"/>
          <w:szCs w:val="22"/>
        </w:rPr>
        <w:t>the Montana Department of Insurance and in a</w:t>
      </w:r>
      <w:r w:rsidR="00CA4BAE" w:rsidRPr="00FF5B27">
        <w:rPr>
          <w:rFonts w:asciiTheme="minorHAnsi" w:hAnsiTheme="minorHAnsi"/>
          <w:szCs w:val="22"/>
        </w:rPr>
        <w:t>ddition</w:t>
      </w:r>
      <w:r w:rsidR="00C31613" w:rsidRPr="00FF5B27">
        <w:rPr>
          <w:rFonts w:asciiTheme="minorHAnsi" w:hAnsiTheme="minorHAnsi"/>
          <w:szCs w:val="22"/>
        </w:rPr>
        <w:t xml:space="preserve">, </w:t>
      </w:r>
      <w:r w:rsidR="00CA4BAE" w:rsidRPr="00FF5B27">
        <w:rPr>
          <w:rFonts w:asciiTheme="minorHAnsi" w:hAnsiTheme="minorHAnsi"/>
          <w:szCs w:val="22"/>
        </w:rPr>
        <w:t xml:space="preserve">financial filings </w:t>
      </w:r>
      <w:r w:rsidRPr="00FF5B27">
        <w:rPr>
          <w:rFonts w:asciiTheme="minorHAnsi" w:hAnsiTheme="minorHAnsi"/>
          <w:szCs w:val="22"/>
        </w:rPr>
        <w:t>are</w:t>
      </w:r>
      <w:r w:rsidR="00CA4BAE" w:rsidRPr="00FF5B27">
        <w:rPr>
          <w:rFonts w:asciiTheme="minorHAnsi" w:hAnsiTheme="minorHAnsi"/>
          <w:szCs w:val="22"/>
        </w:rPr>
        <w:t xml:space="preserve"> required.  See the “</w:t>
      </w:r>
      <w:r w:rsidR="00CA4BAE" w:rsidRPr="00FF5B27">
        <w:rPr>
          <w:rFonts w:asciiTheme="minorHAnsi" w:hAnsiTheme="minorHAnsi"/>
          <w:b/>
          <w:szCs w:val="22"/>
        </w:rPr>
        <w:t>Montana Filing Checklist for Captive Insurers</w:t>
      </w:r>
      <w:r w:rsidR="00CA4BAE" w:rsidRPr="00FF5B27">
        <w:rPr>
          <w:rFonts w:asciiTheme="minorHAnsi" w:hAnsiTheme="minorHAnsi"/>
          <w:szCs w:val="22"/>
        </w:rPr>
        <w:t>” filing requirements and instructions</w:t>
      </w:r>
      <w:r w:rsidR="00310165">
        <w:rPr>
          <w:rFonts w:asciiTheme="minorHAnsi" w:hAnsiTheme="minorHAnsi"/>
          <w:szCs w:val="22"/>
        </w:rPr>
        <w:t xml:space="preserve"> (last page)</w:t>
      </w:r>
      <w:r w:rsidR="00CA4BAE" w:rsidRPr="00FF5B27">
        <w:rPr>
          <w:rFonts w:asciiTheme="minorHAnsi" w:hAnsiTheme="minorHAnsi"/>
          <w:szCs w:val="22"/>
        </w:rPr>
        <w:t>.</w:t>
      </w:r>
    </w:p>
    <w:p w14:paraId="3C3960AA" w14:textId="37CC3915" w:rsidR="00840BB1" w:rsidRPr="00FF5B27" w:rsidRDefault="00CA4BAE" w:rsidP="00A549E2">
      <w:pPr>
        <w:spacing w:after="0" w:line="261" w:lineRule="auto"/>
        <w:ind w:left="10" w:hanging="10"/>
        <w:rPr>
          <w:rFonts w:asciiTheme="minorHAnsi" w:hAnsiTheme="minorHAnsi"/>
          <w:szCs w:val="22"/>
        </w:rPr>
      </w:pPr>
      <w:hyperlink r:id="rId14">
        <w:r w:rsidRPr="00FF5B27">
          <w:rPr>
            <w:rFonts w:asciiTheme="minorHAnsi" w:hAnsiTheme="minorHAnsi"/>
            <w:b/>
            <w:szCs w:val="22"/>
          </w:rPr>
          <w:t>It is suggested that electronic filings be made throu</w:t>
        </w:r>
      </w:hyperlink>
      <w:hyperlink r:id="rId15">
        <w:r w:rsidRPr="00FF5B27">
          <w:rPr>
            <w:rFonts w:asciiTheme="minorHAnsi" w:hAnsiTheme="minorHAnsi"/>
            <w:b/>
            <w:szCs w:val="22"/>
          </w:rPr>
          <w:t>gh</w:t>
        </w:r>
      </w:hyperlink>
      <w:r w:rsidRPr="00FF5B27">
        <w:rPr>
          <w:rFonts w:asciiTheme="minorHAnsi" w:hAnsiTheme="minorHAnsi"/>
          <w:b/>
          <w:szCs w:val="22"/>
        </w:rPr>
        <w:t xml:space="preserve"> the </w:t>
      </w:r>
      <w:r w:rsidRPr="00FF5B27">
        <w:rPr>
          <w:rFonts w:asciiTheme="minorHAnsi" w:hAnsiTheme="minorHAnsi"/>
          <w:b/>
          <w:szCs w:val="22"/>
          <w:u w:val="single" w:color="000000"/>
        </w:rPr>
        <w:t>Montana File</w:t>
      </w:r>
      <w:r w:rsidRPr="00FF5B27">
        <w:rPr>
          <w:rFonts w:asciiTheme="minorHAnsi" w:hAnsiTheme="minorHAnsi"/>
          <w:b/>
          <w:szCs w:val="22"/>
        </w:rPr>
        <w:t xml:space="preserve"> </w:t>
      </w:r>
      <w:r w:rsidRPr="00FF5B27">
        <w:rPr>
          <w:rFonts w:asciiTheme="minorHAnsi" w:hAnsiTheme="minorHAnsi"/>
          <w:b/>
          <w:szCs w:val="22"/>
          <w:u w:val="single" w:color="000000"/>
        </w:rPr>
        <w:t>Transfer Service (MFTS)</w:t>
      </w:r>
      <w:r w:rsidRPr="00FF5B27">
        <w:rPr>
          <w:rFonts w:asciiTheme="minorHAnsi" w:hAnsiTheme="minorHAnsi"/>
          <w:b/>
          <w:szCs w:val="22"/>
        </w:rPr>
        <w:t>.  An account can be established at</w:t>
      </w:r>
      <w:r w:rsidRPr="00FF5B27">
        <w:rPr>
          <w:rFonts w:asciiTheme="minorHAnsi" w:hAnsiTheme="minorHAnsi"/>
          <w:szCs w:val="22"/>
        </w:rPr>
        <w:t xml:space="preserve">:  </w:t>
      </w:r>
    </w:p>
    <w:p w14:paraId="681D0078" w14:textId="77777777" w:rsidR="00A549E2" w:rsidRPr="00FF5B27" w:rsidRDefault="00A549E2" w:rsidP="00A549E2">
      <w:pPr>
        <w:spacing w:after="0" w:line="261" w:lineRule="auto"/>
        <w:ind w:left="10" w:hanging="10"/>
        <w:rPr>
          <w:rFonts w:asciiTheme="minorHAnsi" w:hAnsiTheme="minorHAnsi"/>
          <w:szCs w:val="22"/>
        </w:rPr>
      </w:pPr>
    </w:p>
    <w:p w14:paraId="31D627EF" w14:textId="7D4B5BEE" w:rsidR="00CA050C" w:rsidRPr="00FF5B27" w:rsidRDefault="00CA050C" w:rsidP="00A549E2">
      <w:pPr>
        <w:spacing w:after="0" w:line="261" w:lineRule="auto"/>
        <w:ind w:left="10" w:hanging="10"/>
        <w:rPr>
          <w:rFonts w:asciiTheme="minorHAnsi" w:hAnsiTheme="minorHAnsi"/>
          <w:szCs w:val="22"/>
        </w:rPr>
      </w:pPr>
      <w:hyperlink r:id="rId16" w:history="1">
        <w:r w:rsidRPr="00FF5B27">
          <w:rPr>
            <w:rStyle w:val="Hyperlink"/>
            <w:rFonts w:asciiTheme="minorHAnsi" w:hAnsiTheme="minorHAnsi"/>
            <w:szCs w:val="22"/>
          </w:rPr>
          <w:t>https://transfer.mt.gov/Home/Login?EPassError=Unauthorized&amp;ErrorCode=Unauthorized&amp;ErrorMessage=You%20do%20not%20have%20access%20to%20the%20requested%20resource.&amp;ReturnUrl=https%3a%2f%2ftransfer.mt.gov%2f</w:t>
        </w:r>
      </w:hyperlink>
    </w:p>
    <w:p w14:paraId="1D678413" w14:textId="77777777" w:rsidR="00C31613" w:rsidRPr="00FF5B27" w:rsidRDefault="00C31613">
      <w:pPr>
        <w:spacing w:after="160" w:line="278" w:lineRule="auto"/>
        <w:ind w:left="0" w:firstLine="0"/>
        <w:rPr>
          <w:rFonts w:asciiTheme="minorHAnsi" w:hAnsiTheme="minorHAnsi"/>
          <w:szCs w:val="22"/>
        </w:rPr>
      </w:pPr>
    </w:p>
    <w:p w14:paraId="78FDBEA5" w14:textId="31C9A774" w:rsidR="00CA050C" w:rsidRPr="00FF5B27" w:rsidRDefault="00CA4BAE">
      <w:pPr>
        <w:ind w:left="1"/>
        <w:rPr>
          <w:rFonts w:asciiTheme="minorHAnsi" w:hAnsiTheme="minorHAnsi"/>
          <w:color w:val="0000FF"/>
          <w:szCs w:val="22"/>
          <w:u w:val="single" w:color="0000FF"/>
        </w:rPr>
      </w:pPr>
      <w:r w:rsidRPr="00FF5B27">
        <w:rPr>
          <w:rFonts w:asciiTheme="minorHAnsi" w:hAnsiTheme="minorHAnsi"/>
          <w:szCs w:val="22"/>
        </w:rPr>
        <w:t xml:space="preserve">When using MFTS, you will be asked to enter </w:t>
      </w:r>
      <w:proofErr w:type="gramStart"/>
      <w:r w:rsidRPr="00FF5B27">
        <w:rPr>
          <w:rFonts w:asciiTheme="minorHAnsi" w:hAnsiTheme="minorHAnsi"/>
          <w:szCs w:val="22"/>
        </w:rPr>
        <w:t>a receiving</w:t>
      </w:r>
      <w:proofErr w:type="gramEnd"/>
      <w:r w:rsidRPr="00FF5B27">
        <w:rPr>
          <w:rFonts w:asciiTheme="minorHAnsi" w:hAnsiTheme="minorHAnsi"/>
          <w:szCs w:val="22"/>
        </w:rPr>
        <w:t xml:space="preserve"> email address.  Please use the following recipient</w:t>
      </w:r>
      <w:r w:rsidR="00CA050C" w:rsidRPr="00FF5B27">
        <w:rPr>
          <w:rFonts w:asciiTheme="minorHAnsi" w:hAnsiTheme="minorHAnsi"/>
          <w:szCs w:val="22"/>
        </w:rPr>
        <w:t>s</w:t>
      </w:r>
      <w:r w:rsidRPr="00FF5B27">
        <w:rPr>
          <w:rFonts w:asciiTheme="minorHAnsi" w:hAnsiTheme="minorHAnsi"/>
          <w:szCs w:val="22"/>
        </w:rPr>
        <w:t xml:space="preserve">: </w:t>
      </w:r>
      <w:hyperlink r:id="rId17" w:history="1">
        <w:r w:rsidR="00CA050C" w:rsidRPr="00FF5B27">
          <w:rPr>
            <w:rStyle w:val="Hyperlink"/>
            <w:rFonts w:asciiTheme="minorHAnsi" w:hAnsiTheme="minorHAnsi"/>
            <w:szCs w:val="22"/>
          </w:rPr>
          <w:t>rbidon@mt.gov</w:t>
        </w:r>
      </w:hyperlink>
      <w:r w:rsidR="00CA050C" w:rsidRPr="00FF5B27">
        <w:rPr>
          <w:rFonts w:asciiTheme="minorHAnsi" w:hAnsiTheme="minorHAnsi"/>
          <w:color w:val="0000FF"/>
          <w:szCs w:val="22"/>
          <w:u w:val="single" w:color="0000FF"/>
        </w:rPr>
        <w:t xml:space="preserve">; </w:t>
      </w:r>
      <w:hyperlink r:id="rId18" w:history="1">
        <w:r w:rsidR="00CA050C" w:rsidRPr="00FF5B27">
          <w:rPr>
            <w:rStyle w:val="Hyperlink"/>
            <w:rFonts w:asciiTheme="minorHAnsi" w:hAnsiTheme="minorHAnsi"/>
            <w:szCs w:val="22"/>
          </w:rPr>
          <w:t>Dakota.terry@mt.gov</w:t>
        </w:r>
      </w:hyperlink>
    </w:p>
    <w:p w14:paraId="6D5CA59B" w14:textId="77777777" w:rsidR="00840BB1" w:rsidRPr="00FF5B27" w:rsidRDefault="00CA4BAE">
      <w:pPr>
        <w:pStyle w:val="Heading1"/>
        <w:spacing w:after="340"/>
        <w:ind w:left="360" w:hanging="360"/>
        <w:rPr>
          <w:rFonts w:asciiTheme="minorHAnsi" w:hAnsiTheme="minorHAnsi"/>
          <w:szCs w:val="22"/>
        </w:rPr>
      </w:pPr>
      <w:r w:rsidRPr="00FF5B27">
        <w:rPr>
          <w:rFonts w:asciiTheme="minorHAnsi" w:hAnsiTheme="minorHAnsi"/>
          <w:szCs w:val="22"/>
        </w:rPr>
        <w:t>Fiscal Year Filers</w:t>
      </w:r>
    </w:p>
    <w:p w14:paraId="24AA80AB" w14:textId="7DE90700" w:rsidR="00C31613" w:rsidRPr="00FF5B27" w:rsidRDefault="00C31613" w:rsidP="00C31613">
      <w:pPr>
        <w:ind w:left="1"/>
        <w:rPr>
          <w:rFonts w:asciiTheme="minorHAnsi" w:hAnsiTheme="minorHAnsi"/>
          <w:szCs w:val="22"/>
        </w:rPr>
      </w:pPr>
      <w:r w:rsidRPr="00FF5B27">
        <w:rPr>
          <w:rFonts w:asciiTheme="minorHAnsi" w:hAnsiTheme="minorHAnsi"/>
          <w:b/>
          <w:szCs w:val="22"/>
        </w:rPr>
        <w:t>Fiscal Filers will use the excel form</w:t>
      </w:r>
      <w:r w:rsidR="00F6278A">
        <w:rPr>
          <w:rFonts w:asciiTheme="minorHAnsi" w:hAnsiTheme="minorHAnsi"/>
          <w:b/>
          <w:szCs w:val="22"/>
        </w:rPr>
        <w:t xml:space="preserve"> named the same</w:t>
      </w:r>
      <w:r w:rsidR="001062AB">
        <w:rPr>
          <w:rFonts w:asciiTheme="minorHAnsi" w:hAnsiTheme="minorHAnsi"/>
          <w:b/>
          <w:szCs w:val="22"/>
        </w:rPr>
        <w:t xml:space="preserve"> (link on page 1)</w:t>
      </w:r>
      <w:r w:rsidR="00F6278A">
        <w:rPr>
          <w:rFonts w:asciiTheme="minorHAnsi" w:hAnsiTheme="minorHAnsi"/>
          <w:b/>
          <w:szCs w:val="22"/>
        </w:rPr>
        <w:t>.</w:t>
      </w:r>
    </w:p>
    <w:p w14:paraId="164A1676" w14:textId="274CDB34" w:rsidR="00840BB1" w:rsidRPr="00FF5B27" w:rsidRDefault="00CA4BAE">
      <w:pPr>
        <w:ind w:left="1"/>
        <w:rPr>
          <w:rFonts w:asciiTheme="minorHAnsi" w:hAnsiTheme="minorHAnsi"/>
          <w:szCs w:val="22"/>
        </w:rPr>
      </w:pPr>
      <w:r w:rsidRPr="00FF5B27">
        <w:rPr>
          <w:rFonts w:asciiTheme="minorHAnsi" w:hAnsiTheme="minorHAnsi"/>
          <w:szCs w:val="22"/>
        </w:rPr>
        <w:t xml:space="preserve">Non-RRGs with a fiscal year-end other than December 31 must request and receive permission from the CSI to file on a basis other than December 31.  This request </w:t>
      </w:r>
      <w:proofErr w:type="gramStart"/>
      <w:r w:rsidRPr="00FF5B27">
        <w:rPr>
          <w:rFonts w:asciiTheme="minorHAnsi" w:hAnsiTheme="minorHAnsi"/>
          <w:szCs w:val="22"/>
        </w:rPr>
        <w:t>need</w:t>
      </w:r>
      <w:proofErr w:type="gramEnd"/>
      <w:r w:rsidRPr="00FF5B27">
        <w:rPr>
          <w:rFonts w:asciiTheme="minorHAnsi" w:hAnsiTheme="minorHAnsi"/>
          <w:szCs w:val="22"/>
        </w:rPr>
        <w:t xml:space="preserve"> only be made one time (companies generally request this, and are approved, at time of licensure), but any subsequent changes must also be approved by the CSI.  Filing deadlines for fiscal year </w:t>
      </w:r>
      <w:proofErr w:type="gramStart"/>
      <w:r w:rsidRPr="00FF5B27">
        <w:rPr>
          <w:rFonts w:asciiTheme="minorHAnsi" w:hAnsiTheme="minorHAnsi"/>
          <w:szCs w:val="22"/>
        </w:rPr>
        <w:t>filers</w:t>
      </w:r>
      <w:proofErr w:type="gramEnd"/>
      <w:r w:rsidRPr="00FF5B27">
        <w:rPr>
          <w:rFonts w:asciiTheme="minorHAnsi" w:hAnsiTheme="minorHAnsi"/>
          <w:szCs w:val="22"/>
        </w:rPr>
        <w:t xml:space="preserve"> are as follows:  unaudited statements are due 90 days after fiscal year-end; audited statements and actuarial opinions are due 180 days after fiscal year-end.  </w:t>
      </w:r>
      <w:r w:rsidRPr="00FF5B27">
        <w:rPr>
          <w:rFonts w:asciiTheme="minorHAnsi" w:hAnsiTheme="minorHAnsi"/>
          <w:b/>
          <w:szCs w:val="22"/>
        </w:rPr>
        <w:t xml:space="preserve">Premium tax returns for fiscal year filers are due March 1 as is the case for all captive insurers.   </w:t>
      </w:r>
      <w:r w:rsidRPr="00FF5B27">
        <w:rPr>
          <w:rFonts w:asciiTheme="minorHAnsi" w:hAnsiTheme="minorHAnsi"/>
          <w:szCs w:val="22"/>
        </w:rPr>
        <w:t xml:space="preserve"> </w:t>
      </w:r>
    </w:p>
    <w:p w14:paraId="334C64FD" w14:textId="77777777" w:rsidR="00840BB1" w:rsidRPr="00FF5B27" w:rsidRDefault="00CA4BAE">
      <w:pPr>
        <w:pStyle w:val="Heading1"/>
        <w:spacing w:after="337"/>
        <w:ind w:left="360" w:hanging="360"/>
        <w:rPr>
          <w:rFonts w:asciiTheme="minorHAnsi" w:hAnsiTheme="minorHAnsi"/>
          <w:szCs w:val="22"/>
        </w:rPr>
      </w:pPr>
      <w:r w:rsidRPr="00FF5B27">
        <w:rPr>
          <w:rFonts w:asciiTheme="minorHAnsi" w:hAnsiTheme="minorHAnsi"/>
          <w:szCs w:val="22"/>
        </w:rPr>
        <w:t>Premium Tax Returns</w:t>
      </w:r>
    </w:p>
    <w:p w14:paraId="14CB19A0" w14:textId="77777777" w:rsidR="00840BB1" w:rsidRPr="00FF5B27" w:rsidRDefault="00CA4BAE">
      <w:pPr>
        <w:spacing w:after="288" w:line="242" w:lineRule="auto"/>
        <w:ind w:left="0" w:firstLine="0"/>
        <w:jc w:val="both"/>
        <w:rPr>
          <w:rFonts w:asciiTheme="minorHAnsi" w:hAnsiTheme="minorHAnsi"/>
          <w:szCs w:val="22"/>
        </w:rPr>
      </w:pPr>
      <w:r w:rsidRPr="00FF5B27">
        <w:rPr>
          <w:rFonts w:asciiTheme="minorHAnsi" w:hAnsiTheme="minorHAnsi"/>
          <w:szCs w:val="22"/>
        </w:rPr>
        <w:t xml:space="preserve">All Montana-domiciled captive insurers are required to file a Montana Premium Tax  Return in OPTins no later than March 1 of each year.  Mont. Code Ann. § 33-28-201 allows a quarterly </w:t>
      </w:r>
      <w:proofErr w:type="gramStart"/>
      <w:r w:rsidRPr="00FF5B27">
        <w:rPr>
          <w:rFonts w:asciiTheme="minorHAnsi" w:hAnsiTheme="minorHAnsi"/>
          <w:szCs w:val="22"/>
        </w:rPr>
        <w:t>proration</w:t>
      </w:r>
      <w:proofErr w:type="gramEnd"/>
      <w:r w:rsidRPr="00FF5B27">
        <w:rPr>
          <w:rFonts w:asciiTheme="minorHAnsi" w:hAnsiTheme="minorHAnsi"/>
          <w:szCs w:val="22"/>
        </w:rPr>
        <w:t xml:space="preserve"> of the minimum premium tax for those captive insurers who were newly licensed during the tax year being filed.  </w:t>
      </w:r>
    </w:p>
    <w:p w14:paraId="4EA2CF30"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The Website instructions regarding </w:t>
      </w:r>
      <w:r w:rsidRPr="00FF5B27">
        <w:rPr>
          <w:rFonts w:asciiTheme="minorHAnsi" w:hAnsiTheme="minorHAnsi"/>
          <w:b/>
          <w:szCs w:val="22"/>
        </w:rPr>
        <w:t>OPT</w:t>
      </w:r>
      <w:r w:rsidRPr="00FF5B27">
        <w:rPr>
          <w:rFonts w:asciiTheme="minorHAnsi" w:hAnsiTheme="minorHAnsi"/>
          <w:b/>
          <w:i/>
          <w:szCs w:val="22"/>
        </w:rPr>
        <w:t>ins</w:t>
      </w:r>
      <w:r w:rsidRPr="00FF5B27">
        <w:rPr>
          <w:rFonts w:asciiTheme="minorHAnsi" w:hAnsiTheme="minorHAnsi"/>
          <w:szCs w:val="22"/>
        </w:rPr>
        <w:t xml:space="preserve"> </w:t>
      </w:r>
      <w:proofErr w:type="gramStart"/>
      <w:r w:rsidRPr="00FF5B27">
        <w:rPr>
          <w:rFonts w:asciiTheme="minorHAnsi" w:hAnsiTheme="minorHAnsi"/>
          <w:szCs w:val="22"/>
        </w:rPr>
        <w:t>discusses</w:t>
      </w:r>
      <w:proofErr w:type="gramEnd"/>
      <w:r w:rsidRPr="00FF5B27">
        <w:rPr>
          <w:rFonts w:asciiTheme="minorHAnsi" w:hAnsiTheme="minorHAnsi"/>
          <w:szCs w:val="22"/>
        </w:rPr>
        <w:t xml:space="preserve"> the filing of the Montana Premium Tax Return by </w:t>
      </w:r>
      <w:proofErr w:type="gramStart"/>
      <w:r w:rsidRPr="00FF5B27">
        <w:rPr>
          <w:rFonts w:asciiTheme="minorHAnsi" w:hAnsiTheme="minorHAnsi"/>
          <w:szCs w:val="22"/>
        </w:rPr>
        <w:t>the March</w:t>
      </w:r>
      <w:proofErr w:type="gramEnd"/>
      <w:r w:rsidRPr="00FF5B27">
        <w:rPr>
          <w:rFonts w:asciiTheme="minorHAnsi" w:hAnsiTheme="minorHAnsi"/>
          <w:szCs w:val="22"/>
        </w:rPr>
        <w:t xml:space="preserve"> 1</w:t>
      </w:r>
      <w:r w:rsidRPr="00FF5B27">
        <w:rPr>
          <w:rFonts w:asciiTheme="minorHAnsi" w:hAnsiTheme="minorHAnsi"/>
          <w:szCs w:val="22"/>
          <w:vertAlign w:val="superscript"/>
        </w:rPr>
        <w:t>st</w:t>
      </w:r>
      <w:r w:rsidRPr="00FF5B27">
        <w:rPr>
          <w:rFonts w:asciiTheme="minorHAnsi" w:hAnsiTheme="minorHAnsi"/>
          <w:szCs w:val="22"/>
        </w:rPr>
        <w:t xml:space="preserve">, due date.  </w:t>
      </w:r>
      <w:r w:rsidRPr="00FF5B27">
        <w:rPr>
          <w:rFonts w:asciiTheme="minorHAnsi" w:hAnsiTheme="minorHAnsi"/>
          <w:b/>
          <w:szCs w:val="22"/>
          <w:u w:val="single" w:color="000000"/>
        </w:rPr>
        <w:t>Please read it carefully</w:t>
      </w:r>
      <w:r w:rsidRPr="00FF5B27">
        <w:rPr>
          <w:rFonts w:asciiTheme="minorHAnsi" w:hAnsiTheme="minorHAnsi"/>
          <w:szCs w:val="22"/>
        </w:rPr>
        <w:t xml:space="preserve">.   </w:t>
      </w:r>
    </w:p>
    <w:p w14:paraId="56F349E4"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Fiscal year </w:t>
      </w:r>
      <w:proofErr w:type="gramStart"/>
      <w:r w:rsidRPr="00FF5B27">
        <w:rPr>
          <w:rFonts w:asciiTheme="minorHAnsi" w:hAnsiTheme="minorHAnsi"/>
          <w:szCs w:val="22"/>
        </w:rPr>
        <w:t>filers</w:t>
      </w:r>
      <w:proofErr w:type="gramEnd"/>
      <w:r w:rsidRPr="00FF5B27">
        <w:rPr>
          <w:rFonts w:asciiTheme="minorHAnsi" w:hAnsiTheme="minorHAnsi"/>
          <w:szCs w:val="22"/>
        </w:rPr>
        <w:t xml:space="preserve"> shall file a Montana Premium Tax Return no later than March 1 of each year for the </w:t>
      </w:r>
      <w:r w:rsidRPr="00FF5B27">
        <w:rPr>
          <w:rFonts w:asciiTheme="minorHAnsi" w:hAnsiTheme="minorHAnsi"/>
          <w:b/>
          <w:szCs w:val="22"/>
          <w:u w:val="single" w:color="000000"/>
        </w:rPr>
        <w:t>most recently completed calendar year</w:t>
      </w:r>
      <w:r w:rsidRPr="00FF5B27">
        <w:rPr>
          <w:rFonts w:asciiTheme="minorHAnsi" w:hAnsiTheme="minorHAnsi"/>
          <w:szCs w:val="22"/>
        </w:rPr>
        <w:t xml:space="preserve">.  This means that for premium tax purposes, fiscal year </w:t>
      </w:r>
      <w:proofErr w:type="gramStart"/>
      <w:r w:rsidRPr="00FF5B27">
        <w:rPr>
          <w:rFonts w:asciiTheme="minorHAnsi" w:hAnsiTheme="minorHAnsi"/>
          <w:szCs w:val="22"/>
        </w:rPr>
        <w:t>filers</w:t>
      </w:r>
      <w:proofErr w:type="gramEnd"/>
      <w:r w:rsidRPr="00FF5B27">
        <w:rPr>
          <w:rFonts w:asciiTheme="minorHAnsi" w:hAnsiTheme="minorHAnsi"/>
          <w:szCs w:val="22"/>
        </w:rPr>
        <w:t xml:space="preserve"> shall convert fiscal year premium data to calendar year data.  To support the premium tax return, a fiscal year filer shall attach to the premium tax return a report of monthly written premium and/or reinsurance assumed for the </w:t>
      </w:r>
      <w:r w:rsidRPr="00FF5B27">
        <w:rPr>
          <w:rFonts w:asciiTheme="minorHAnsi" w:hAnsiTheme="minorHAnsi"/>
          <w:b/>
          <w:szCs w:val="22"/>
          <w:u w:val="single" w:color="000000"/>
        </w:rPr>
        <w:t>prior calendar year</w:t>
      </w:r>
      <w:r w:rsidRPr="00FF5B27">
        <w:rPr>
          <w:rFonts w:asciiTheme="minorHAnsi" w:hAnsiTheme="minorHAnsi"/>
          <w:szCs w:val="22"/>
        </w:rPr>
        <w:t xml:space="preserve">.  </w:t>
      </w:r>
    </w:p>
    <w:p w14:paraId="4E66876B"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PCC core companies shall submit a single premium tax return that combines premium/assumed reinsurance numbers for the PCC core and each cell.  </w:t>
      </w:r>
    </w:p>
    <w:p w14:paraId="4E65FAAC" w14:textId="77777777" w:rsidR="00840BB1" w:rsidRPr="00FF5B27" w:rsidRDefault="00CA4BAE">
      <w:pPr>
        <w:ind w:left="1"/>
        <w:rPr>
          <w:rFonts w:asciiTheme="minorHAnsi" w:hAnsiTheme="minorHAnsi"/>
          <w:szCs w:val="22"/>
        </w:rPr>
      </w:pPr>
      <w:r w:rsidRPr="00FF5B27">
        <w:rPr>
          <w:rFonts w:asciiTheme="minorHAnsi" w:hAnsiTheme="minorHAnsi"/>
          <w:szCs w:val="22"/>
        </w:rPr>
        <w:lastRenderedPageBreak/>
        <w:t xml:space="preserve">Series core companies shall submit a single premium tax return that combines premium/assumed reinsurance numbers for the Series core and each SBU.  The maximum premium tax of $100,000 shall be applied to </w:t>
      </w:r>
      <w:r w:rsidRPr="00FF5B27">
        <w:rPr>
          <w:rFonts w:asciiTheme="minorHAnsi" w:hAnsiTheme="minorHAnsi"/>
          <w:szCs w:val="22"/>
          <w:u w:val="single" w:color="000000"/>
        </w:rPr>
        <w:t>each</w:t>
      </w:r>
      <w:r w:rsidRPr="00FF5B27">
        <w:rPr>
          <w:rFonts w:asciiTheme="minorHAnsi" w:hAnsiTheme="minorHAnsi"/>
          <w:szCs w:val="22"/>
        </w:rPr>
        <w:t xml:space="preserve"> SBU of a Series LLC captive, rather than application of the maximum to the captive in aggregate.    </w:t>
      </w:r>
    </w:p>
    <w:p w14:paraId="394E7A6B" w14:textId="77777777" w:rsidR="00840BB1" w:rsidRPr="00FF5B27" w:rsidRDefault="00CA4BAE">
      <w:pPr>
        <w:pStyle w:val="Heading1"/>
        <w:spacing w:after="337"/>
        <w:ind w:left="360" w:hanging="360"/>
        <w:rPr>
          <w:rFonts w:asciiTheme="minorHAnsi" w:hAnsiTheme="minorHAnsi"/>
          <w:szCs w:val="22"/>
        </w:rPr>
      </w:pPr>
      <w:r w:rsidRPr="00FF5B27">
        <w:rPr>
          <w:rFonts w:asciiTheme="minorHAnsi" w:hAnsiTheme="minorHAnsi"/>
          <w:szCs w:val="22"/>
        </w:rPr>
        <w:t>Certificate of Authority Renewal</w:t>
      </w:r>
    </w:p>
    <w:p w14:paraId="12BB1DDC" w14:textId="77777777" w:rsidR="00840BB1" w:rsidRPr="00FF5B27" w:rsidRDefault="00CA4BAE">
      <w:pPr>
        <w:spacing w:after="3"/>
        <w:ind w:left="1"/>
        <w:rPr>
          <w:rFonts w:asciiTheme="minorHAnsi" w:hAnsiTheme="minorHAnsi"/>
          <w:szCs w:val="22"/>
        </w:rPr>
      </w:pPr>
      <w:r w:rsidRPr="00FF5B27">
        <w:rPr>
          <w:rFonts w:asciiTheme="minorHAnsi" w:hAnsiTheme="minorHAnsi"/>
          <w:szCs w:val="22"/>
        </w:rPr>
        <w:t xml:space="preserve">Pursuant to Mont. Code Ann. § 33-28-102(4)(b), all licensed captive insurers  </w:t>
      </w:r>
    </w:p>
    <w:p w14:paraId="2F75433C" w14:textId="77777777" w:rsidR="00840BB1" w:rsidRPr="00FF5B27" w:rsidRDefault="00CA4BAE">
      <w:pPr>
        <w:spacing w:after="3"/>
        <w:ind w:left="1"/>
        <w:rPr>
          <w:rFonts w:asciiTheme="minorHAnsi" w:hAnsiTheme="minorHAnsi"/>
          <w:szCs w:val="22"/>
        </w:rPr>
      </w:pPr>
      <w:r w:rsidRPr="00FF5B27">
        <w:rPr>
          <w:rFonts w:asciiTheme="minorHAnsi" w:hAnsiTheme="minorHAnsi"/>
          <w:szCs w:val="22"/>
        </w:rPr>
        <w:t xml:space="preserve">(including each protected cell and each SBU) shall pay a Certificate of Authority  </w:t>
      </w:r>
    </w:p>
    <w:p w14:paraId="40A1251F" w14:textId="77777777" w:rsidR="00840BB1" w:rsidRPr="00FF5B27" w:rsidRDefault="00CA4BAE">
      <w:pPr>
        <w:ind w:left="1"/>
        <w:rPr>
          <w:rFonts w:asciiTheme="minorHAnsi" w:hAnsiTheme="minorHAnsi"/>
          <w:szCs w:val="22"/>
        </w:rPr>
      </w:pPr>
      <w:r w:rsidRPr="00FF5B27">
        <w:rPr>
          <w:rFonts w:asciiTheme="minorHAnsi" w:hAnsiTheme="minorHAnsi"/>
          <w:szCs w:val="22"/>
        </w:rPr>
        <w:t xml:space="preserve">(license) renewal fee of $300.  The renewal fee is incorporated into the Montana  Premium Tax Return and payment should be remitted therewith.  The Commissioner may suspend or revoke a captive’s Certificate of Authority if the renewal fee is not paid by March 1.  </w:t>
      </w:r>
    </w:p>
    <w:p w14:paraId="0119E551" w14:textId="77777777" w:rsidR="00840BB1" w:rsidRPr="00FF5B27" w:rsidRDefault="00CA4BAE">
      <w:pPr>
        <w:pStyle w:val="Heading1"/>
        <w:spacing w:after="337"/>
        <w:ind w:left="540" w:hanging="540"/>
        <w:rPr>
          <w:rFonts w:asciiTheme="minorHAnsi" w:hAnsiTheme="minorHAnsi"/>
          <w:szCs w:val="22"/>
        </w:rPr>
      </w:pPr>
      <w:r w:rsidRPr="00FF5B27">
        <w:rPr>
          <w:rFonts w:asciiTheme="minorHAnsi" w:hAnsiTheme="minorHAnsi"/>
          <w:szCs w:val="22"/>
        </w:rPr>
        <w:t>Dormant Captives</w:t>
      </w:r>
    </w:p>
    <w:p w14:paraId="597EF9BD" w14:textId="77777777" w:rsidR="00840BB1" w:rsidRPr="00FF5B27" w:rsidRDefault="00CA4BAE">
      <w:pPr>
        <w:spacing w:after="339"/>
        <w:ind w:left="1"/>
        <w:rPr>
          <w:rFonts w:asciiTheme="minorHAnsi" w:hAnsiTheme="minorHAnsi"/>
          <w:szCs w:val="22"/>
        </w:rPr>
      </w:pPr>
      <w:r w:rsidRPr="00FF5B27">
        <w:rPr>
          <w:rFonts w:asciiTheme="minorHAnsi" w:hAnsiTheme="minorHAnsi"/>
          <w:szCs w:val="22"/>
        </w:rPr>
        <w:t xml:space="preserve">Pursuant to Mont. Code Ann. § 33-28-401 a dormant captive insurer shall:  </w:t>
      </w:r>
    </w:p>
    <w:p w14:paraId="773FB308" w14:textId="77777777" w:rsidR="00840BB1" w:rsidRPr="00FF5B27" w:rsidRDefault="00CA4BAE">
      <w:pPr>
        <w:numPr>
          <w:ilvl w:val="0"/>
          <w:numId w:val="4"/>
        </w:numPr>
        <w:ind w:hanging="360"/>
        <w:rPr>
          <w:rFonts w:asciiTheme="minorHAnsi" w:hAnsiTheme="minorHAnsi"/>
          <w:szCs w:val="22"/>
        </w:rPr>
      </w:pPr>
      <w:r w:rsidRPr="00FF5B27">
        <w:rPr>
          <w:rFonts w:asciiTheme="minorHAnsi" w:hAnsiTheme="minorHAnsi"/>
          <w:szCs w:val="22"/>
        </w:rPr>
        <w:t xml:space="preserve">On or before March 1, pay a $1,000 annual dormancy tax.  Please use </w:t>
      </w:r>
      <w:proofErr w:type="gramStart"/>
      <w:r w:rsidRPr="00FF5B27">
        <w:rPr>
          <w:rFonts w:asciiTheme="minorHAnsi" w:hAnsiTheme="minorHAnsi"/>
          <w:szCs w:val="22"/>
        </w:rPr>
        <w:t>the Dormancy</w:t>
      </w:r>
      <w:proofErr w:type="gramEnd"/>
      <w:r w:rsidRPr="00FF5B27">
        <w:rPr>
          <w:rFonts w:asciiTheme="minorHAnsi" w:hAnsiTheme="minorHAnsi"/>
          <w:szCs w:val="22"/>
        </w:rPr>
        <w:t xml:space="preserve"> Tax Return in OPTins to report and remit the dormancy tax.</w:t>
      </w:r>
    </w:p>
    <w:p w14:paraId="61C42A5F" w14:textId="77777777" w:rsidR="00840BB1" w:rsidRPr="00FF5B27" w:rsidRDefault="00CA4BAE">
      <w:pPr>
        <w:numPr>
          <w:ilvl w:val="0"/>
          <w:numId w:val="4"/>
        </w:numPr>
        <w:ind w:hanging="360"/>
        <w:rPr>
          <w:rFonts w:asciiTheme="minorHAnsi" w:hAnsiTheme="minorHAnsi"/>
          <w:szCs w:val="22"/>
        </w:rPr>
      </w:pPr>
      <w:r w:rsidRPr="00FF5B27">
        <w:rPr>
          <w:rFonts w:asciiTheme="minorHAnsi" w:hAnsiTheme="minorHAnsi"/>
          <w:szCs w:val="22"/>
        </w:rPr>
        <w:t>No later than April 1, submit to the Commissioner a report of the dormant captive’s financial condition as of the preceding year end, verified by oath of two of its executive officers, in a form as may be prescribed by the Commissioner.  Please use the Montana Short Form in #1 above.</w:t>
      </w:r>
    </w:p>
    <w:p w14:paraId="7B28DD74" w14:textId="77777777" w:rsidR="00840BB1" w:rsidRPr="00FF5B27" w:rsidRDefault="00840BB1">
      <w:pPr>
        <w:rPr>
          <w:rFonts w:asciiTheme="minorHAnsi" w:hAnsiTheme="minorHAnsi"/>
          <w:szCs w:val="22"/>
          <w:lang w:val="fr-FR"/>
        </w:rPr>
        <w:sectPr w:rsidR="00840BB1" w:rsidRPr="00FF5B27" w:rsidSect="00E519C4">
          <w:footerReference w:type="even" r:id="rId19"/>
          <w:footerReference w:type="default" r:id="rId20"/>
          <w:footerReference w:type="first" r:id="rId21"/>
          <w:pgSz w:w="12240" w:h="15840" w:code="1"/>
          <w:pgMar w:top="720" w:right="1440" w:bottom="1152" w:left="1440" w:header="720" w:footer="432" w:gutter="0"/>
          <w:cols w:space="720"/>
          <w:titlePg/>
        </w:sectPr>
      </w:pPr>
    </w:p>
    <w:p w14:paraId="69C4A845" w14:textId="77777777" w:rsidR="00840BB1" w:rsidRPr="00FF5B27" w:rsidRDefault="00CA4BAE">
      <w:pPr>
        <w:spacing w:after="322" w:line="259" w:lineRule="auto"/>
        <w:ind w:left="2" w:right="-1304" w:firstLine="0"/>
        <w:rPr>
          <w:rFonts w:asciiTheme="minorHAnsi" w:hAnsiTheme="minorHAnsi"/>
          <w:szCs w:val="22"/>
        </w:rPr>
      </w:pPr>
      <w:r w:rsidRPr="00FF5B27">
        <w:rPr>
          <w:rFonts w:asciiTheme="minorHAnsi" w:hAnsiTheme="minorHAnsi"/>
          <w:noProof/>
          <w:szCs w:val="22"/>
        </w:rPr>
        <w:lastRenderedPageBreak/>
        <w:drawing>
          <wp:inline distT="0" distB="0" distL="0" distR="0" wp14:anchorId="68947E4E" wp14:editId="23BE62C2">
            <wp:extent cx="6678169" cy="5565648"/>
            <wp:effectExtent l="0" t="0" r="0" b="0"/>
            <wp:docPr id="8086" name="Picture 8086"/>
            <wp:cNvGraphicFramePr/>
            <a:graphic xmlns:a="http://schemas.openxmlformats.org/drawingml/2006/main">
              <a:graphicData uri="http://schemas.openxmlformats.org/drawingml/2006/picture">
                <pic:pic xmlns:pic="http://schemas.openxmlformats.org/drawingml/2006/picture">
                  <pic:nvPicPr>
                    <pic:cNvPr id="8086" name="Picture 8086"/>
                    <pic:cNvPicPr/>
                  </pic:nvPicPr>
                  <pic:blipFill>
                    <a:blip r:embed="rId22"/>
                    <a:stretch>
                      <a:fillRect/>
                    </a:stretch>
                  </pic:blipFill>
                  <pic:spPr>
                    <a:xfrm>
                      <a:off x="0" y="0"/>
                      <a:ext cx="6678169" cy="5565648"/>
                    </a:xfrm>
                    <a:prstGeom prst="rect">
                      <a:avLst/>
                    </a:prstGeom>
                  </pic:spPr>
                </pic:pic>
              </a:graphicData>
            </a:graphic>
          </wp:inline>
        </w:drawing>
      </w:r>
    </w:p>
    <w:p w14:paraId="38784618" w14:textId="77777777" w:rsidR="00840BB1" w:rsidRPr="00FF5B27" w:rsidRDefault="00CA4BAE">
      <w:pPr>
        <w:tabs>
          <w:tab w:val="center" w:pos="1895"/>
        </w:tabs>
        <w:spacing w:after="16" w:line="254" w:lineRule="auto"/>
        <w:ind w:left="-15" w:firstLine="0"/>
        <w:rPr>
          <w:rFonts w:asciiTheme="minorHAnsi" w:hAnsiTheme="minorHAnsi"/>
          <w:szCs w:val="22"/>
        </w:rPr>
      </w:pPr>
      <w:r w:rsidRPr="00FF5B27">
        <w:rPr>
          <w:rFonts w:asciiTheme="minorHAnsi" w:hAnsiTheme="minorHAnsi"/>
          <w:szCs w:val="22"/>
        </w:rPr>
        <w:t xml:space="preserve">√ </w:t>
      </w:r>
      <w:r w:rsidRPr="00FF5B27">
        <w:rPr>
          <w:rFonts w:asciiTheme="minorHAnsi" w:hAnsiTheme="minorHAnsi"/>
          <w:szCs w:val="22"/>
        </w:rPr>
        <w:tab/>
        <w:t xml:space="preserve"> Denotes required filing. </w:t>
      </w:r>
    </w:p>
    <w:p w14:paraId="7925D730" w14:textId="77777777" w:rsidR="00840BB1" w:rsidRPr="00FF5B27" w:rsidRDefault="00CA4BAE">
      <w:pPr>
        <w:tabs>
          <w:tab w:val="right" w:pos="9215"/>
        </w:tabs>
        <w:spacing w:after="4" w:line="254" w:lineRule="auto"/>
        <w:ind w:left="-15" w:firstLine="0"/>
        <w:rPr>
          <w:rFonts w:asciiTheme="minorHAnsi" w:hAnsiTheme="minorHAnsi"/>
          <w:szCs w:val="22"/>
        </w:rPr>
      </w:pPr>
      <w:r w:rsidRPr="00FF5B27">
        <w:rPr>
          <w:rFonts w:asciiTheme="minorHAnsi" w:hAnsiTheme="minorHAnsi"/>
          <w:szCs w:val="22"/>
        </w:rPr>
        <w:t>*</w:t>
      </w:r>
      <w:r w:rsidRPr="00FF5B27">
        <w:rPr>
          <w:rFonts w:asciiTheme="minorHAnsi" w:hAnsiTheme="minorHAnsi"/>
          <w:szCs w:val="22"/>
        </w:rPr>
        <w:tab/>
        <w:t>Each Protected Cell Captive (PCC core) and Series LLC (Series core) must file a</w:t>
      </w:r>
    </w:p>
    <w:p w14:paraId="3BBD4FCA" w14:textId="77777777" w:rsidR="00840BB1" w:rsidRPr="00FF5B27" w:rsidRDefault="00CA4BAE">
      <w:pPr>
        <w:spacing w:after="16" w:line="254" w:lineRule="auto"/>
        <w:ind w:left="735" w:firstLine="0"/>
        <w:rPr>
          <w:rFonts w:asciiTheme="minorHAnsi" w:hAnsiTheme="minorHAnsi"/>
          <w:szCs w:val="22"/>
        </w:rPr>
      </w:pPr>
      <w:r w:rsidRPr="00FF5B27">
        <w:rPr>
          <w:rFonts w:asciiTheme="minorHAnsi" w:hAnsiTheme="minorHAnsi"/>
          <w:szCs w:val="22"/>
        </w:rPr>
        <w:t>"combined" audited financial statement.  Refer to "Reporting Instructions" memo.</w:t>
      </w:r>
    </w:p>
    <w:p w14:paraId="68AABBE4" w14:textId="77777777" w:rsidR="00840BB1" w:rsidRPr="00FF5B27" w:rsidRDefault="00CA4BAE">
      <w:pPr>
        <w:spacing w:after="16" w:line="254" w:lineRule="auto"/>
        <w:ind w:left="729" w:hanging="744"/>
        <w:rPr>
          <w:rFonts w:asciiTheme="minorHAnsi" w:hAnsiTheme="minorHAnsi"/>
          <w:szCs w:val="22"/>
        </w:rPr>
      </w:pPr>
      <w:r w:rsidRPr="00FF5B27">
        <w:rPr>
          <w:rFonts w:asciiTheme="minorHAnsi" w:hAnsiTheme="minorHAnsi"/>
          <w:szCs w:val="22"/>
        </w:rPr>
        <w:t xml:space="preserve">** </w:t>
      </w:r>
      <w:r w:rsidRPr="00FF5B27">
        <w:rPr>
          <w:rFonts w:asciiTheme="minorHAnsi" w:hAnsiTheme="minorHAnsi"/>
          <w:szCs w:val="22"/>
        </w:rPr>
        <w:tab/>
        <w:t>Each PCC core must file individual actuarial opinions for each cell and the PCC core (if applicable).  Refer to "Reporting Instructions" memo.</w:t>
      </w:r>
    </w:p>
    <w:p w14:paraId="78F70CEA" w14:textId="77777777" w:rsidR="00840BB1" w:rsidRPr="00FF5B27" w:rsidRDefault="00CA4BAE">
      <w:pPr>
        <w:spacing w:after="4" w:line="254" w:lineRule="auto"/>
        <w:ind w:left="729" w:hanging="744"/>
        <w:rPr>
          <w:rFonts w:asciiTheme="minorHAnsi" w:hAnsiTheme="minorHAnsi"/>
          <w:szCs w:val="22"/>
        </w:rPr>
      </w:pPr>
      <w:r w:rsidRPr="00FF5B27">
        <w:rPr>
          <w:rFonts w:asciiTheme="minorHAnsi" w:hAnsiTheme="minorHAnsi"/>
          <w:szCs w:val="22"/>
        </w:rPr>
        <w:t xml:space="preserve">** </w:t>
      </w:r>
      <w:r w:rsidRPr="00FF5B27">
        <w:rPr>
          <w:rFonts w:asciiTheme="minorHAnsi" w:hAnsiTheme="minorHAnsi"/>
          <w:szCs w:val="22"/>
        </w:rPr>
        <w:tab/>
        <w:t>Each Series core must file individual actuarial opinions for each SBU and the Series core (if applicable). Refer to "Reporting Instructions" memo.</w:t>
      </w:r>
    </w:p>
    <w:p w14:paraId="38B76D36" w14:textId="10D0231F" w:rsidR="00840BB1" w:rsidRPr="00FF5B27" w:rsidRDefault="00CA4BAE">
      <w:pPr>
        <w:spacing w:after="242" w:line="254" w:lineRule="auto"/>
        <w:ind w:left="729" w:hanging="744"/>
        <w:rPr>
          <w:rFonts w:asciiTheme="minorHAnsi" w:hAnsiTheme="minorHAnsi"/>
          <w:szCs w:val="22"/>
        </w:rPr>
      </w:pPr>
      <w:r w:rsidRPr="00FF5B27">
        <w:rPr>
          <w:rFonts w:asciiTheme="minorHAnsi" w:hAnsiTheme="minorHAnsi"/>
          <w:szCs w:val="22"/>
        </w:rPr>
        <w:t xml:space="preserve">***  Each PCC core and Series core must file a combined Premium Tax Return.  Refer to "Reporting Instructions" memo. </w:t>
      </w:r>
    </w:p>
    <w:p w14:paraId="38DCF7B2" w14:textId="73A2E134" w:rsidR="00840BB1" w:rsidRPr="00FF5B27" w:rsidRDefault="00CA4BAE" w:rsidP="00CA050C">
      <w:pPr>
        <w:spacing w:after="365" w:line="254" w:lineRule="auto"/>
        <w:ind w:left="729" w:hanging="744"/>
        <w:rPr>
          <w:rFonts w:asciiTheme="minorHAnsi" w:hAnsiTheme="minorHAnsi"/>
          <w:szCs w:val="22"/>
        </w:rPr>
      </w:pPr>
      <w:r w:rsidRPr="00FF5B27">
        <w:rPr>
          <w:rFonts w:asciiTheme="minorHAnsi" w:hAnsiTheme="minorHAnsi"/>
          <w:szCs w:val="22"/>
        </w:rPr>
        <w:t xml:space="preserve">Note:  For captives using a non-calendar year (fiscal year), the due dates in the above checklist do not apply, except for the premium tax return and Certificate of Authority Renewal fee.  Refer to "Reporting Instructions" memo. </w:t>
      </w:r>
    </w:p>
    <w:sectPr w:rsidR="00840BB1" w:rsidRPr="00FF5B27">
      <w:footerReference w:type="even" r:id="rId23"/>
      <w:footerReference w:type="default" r:id="rId24"/>
      <w:footerReference w:type="first" r:id="rId25"/>
      <w:pgSz w:w="12240" w:h="15840"/>
      <w:pgMar w:top="1078" w:right="2334" w:bottom="1440" w:left="6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C696" w14:textId="77777777" w:rsidR="00CA4BAE" w:rsidRDefault="00CA4BAE">
      <w:pPr>
        <w:spacing w:after="0" w:line="240" w:lineRule="auto"/>
      </w:pPr>
      <w:r>
        <w:separator/>
      </w:r>
    </w:p>
  </w:endnote>
  <w:endnote w:type="continuationSeparator" w:id="0">
    <w:p w14:paraId="6B431DD0" w14:textId="77777777" w:rsidR="00CA4BAE" w:rsidRDefault="00CA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D008" w14:textId="77777777" w:rsidR="00840BB1" w:rsidRDefault="00CA4BAE">
    <w:pPr>
      <w:spacing w:after="0" w:line="259" w:lineRule="auto"/>
      <w:ind w:left="149"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65957F1" wp14:editId="6C8F8653">
              <wp:simplePos x="0" y="0"/>
              <wp:positionH relativeFrom="page">
                <wp:posOffset>895985</wp:posOffset>
              </wp:positionH>
              <wp:positionV relativeFrom="page">
                <wp:posOffset>9514205</wp:posOffset>
              </wp:positionV>
              <wp:extent cx="5979796" cy="8572"/>
              <wp:effectExtent l="0" t="0" r="0" b="0"/>
              <wp:wrapSquare wrapText="bothSides"/>
              <wp:docPr id="8110" name="Group 8110"/>
              <wp:cNvGraphicFramePr/>
              <a:graphic xmlns:a="http://schemas.openxmlformats.org/drawingml/2006/main">
                <a:graphicData uri="http://schemas.microsoft.com/office/word/2010/wordprocessingGroup">
                  <wpg:wgp>
                    <wpg:cNvGrpSpPr/>
                    <wpg:grpSpPr>
                      <a:xfrm>
                        <a:off x="0" y="0"/>
                        <a:ext cx="5979796" cy="8572"/>
                        <a:chOff x="0" y="0"/>
                        <a:chExt cx="5979796" cy="8572"/>
                      </a:xfrm>
                    </wpg:grpSpPr>
                    <wps:wsp>
                      <wps:cNvPr id="8236" name="Shape 8236"/>
                      <wps:cNvSpPr/>
                      <wps:spPr>
                        <a:xfrm>
                          <a:off x="0" y="0"/>
                          <a:ext cx="5979796" cy="9144"/>
                        </a:xfrm>
                        <a:custGeom>
                          <a:avLst/>
                          <a:gdLst/>
                          <a:ahLst/>
                          <a:cxnLst/>
                          <a:rect l="0" t="0" r="0" b="0"/>
                          <a:pathLst>
                            <a:path w="5979796" h="9144">
                              <a:moveTo>
                                <a:pt x="0" y="0"/>
                              </a:moveTo>
                              <a:lnTo>
                                <a:pt x="5979796" y="0"/>
                              </a:lnTo>
                              <a:lnTo>
                                <a:pt x="597979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110" style="width:470.85pt;height:0.674988pt;position:absolute;mso-position-horizontal-relative:page;mso-position-horizontal:absolute;margin-left:70.55pt;mso-position-vertical-relative:page;margin-top:749.15pt;" coordsize="59797,85">
              <v:shape id="Shape 8237" style="position:absolute;width:59797;height:91;left:0;top:0;" coordsize="5979796,9144" path="m0,0l5979796,0l5979796,9144l0,9144l0,0">
                <v:stroke weight="0pt" endcap="flat" joinstyle="miter" miterlimit="10" on="false" color="#000000" opacity="0"/>
                <v:fill on="true" color="#d9d9d9"/>
              </v:shape>
              <w10:wrap type="square"/>
            </v:group>
          </w:pict>
        </mc:Fallback>
      </mc:AlternateContent>
    </w:r>
    <w:r>
      <w:rPr>
        <w:rFonts w:ascii="Arial" w:eastAsia="Arial" w:hAnsi="Arial" w:cs="Arial"/>
        <w:sz w:val="24"/>
      </w:rPr>
      <w:t xml:space="preserve">Reporting Instructions – Office of the Commissioner of Securities and Insurance </w:t>
    </w:r>
  </w:p>
  <w:p w14:paraId="0F7CC67C" w14:textId="77777777" w:rsidR="00840BB1" w:rsidRDefault="00CA4BAE">
    <w:pPr>
      <w:spacing w:after="0" w:line="259" w:lineRule="auto"/>
      <w:ind w:left="0" w:right="610" w:firstLine="0"/>
      <w:jc w:val="center"/>
    </w:pPr>
    <w:r>
      <w:fldChar w:fldCharType="begin"/>
    </w:r>
    <w:r>
      <w:instrText xml:space="preserve"> PAGE   \* MERGEFORMAT </w:instrText>
    </w:r>
    <w:r>
      <w:fldChar w:fldCharType="separate"/>
    </w:r>
    <w:r>
      <w:rPr>
        <w:rFonts w:ascii="Arial" w:eastAsia="Arial" w:hAnsi="Arial" w:cs="Arial"/>
        <w:b/>
        <w:sz w:val="24"/>
      </w:rPr>
      <w:t>2</w:t>
    </w:r>
    <w:r>
      <w:rPr>
        <w:rFonts w:ascii="Arial" w:eastAsia="Arial" w:hAnsi="Arial" w:cs="Arial"/>
        <w:b/>
        <w:sz w:val="24"/>
      </w:rPr>
      <w:fldChar w:fldCharType="end"/>
    </w:r>
    <w:r>
      <w:rPr>
        <w:rFonts w:ascii="Arial" w:eastAsia="Arial" w:hAnsi="Arial" w:cs="Arial"/>
        <w:b/>
        <w:sz w:val="24"/>
      </w:rPr>
      <w:t xml:space="preserve"> | </w:t>
    </w:r>
    <w:r>
      <w:rPr>
        <w:rFonts w:ascii="Arial" w:eastAsia="Arial" w:hAnsi="Arial" w:cs="Arial"/>
        <w:color w:val="7F7F7F"/>
        <w:sz w:val="24"/>
      </w:rPr>
      <w:t>P a g 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077315"/>
      <w:docPartObj>
        <w:docPartGallery w:val="Page Numbers (Bottom of Page)"/>
        <w:docPartUnique/>
      </w:docPartObj>
    </w:sdtPr>
    <w:sdtEndPr/>
    <w:sdtContent>
      <w:sdt>
        <w:sdtPr>
          <w:id w:val="1728636285"/>
          <w:docPartObj>
            <w:docPartGallery w:val="Page Numbers (Top of Page)"/>
            <w:docPartUnique/>
          </w:docPartObj>
        </w:sdtPr>
        <w:sdtEndPr/>
        <w:sdtContent>
          <w:p w14:paraId="7683F6F2" w14:textId="616A502D" w:rsidR="00A86B21" w:rsidRDefault="00A86B2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0890445" w14:textId="05610831" w:rsidR="00840BB1" w:rsidRPr="00A86B21" w:rsidRDefault="00840BB1" w:rsidP="00A86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E8B7" w14:textId="77777777" w:rsidR="00840BB1" w:rsidRDefault="00840BB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383E" w14:textId="77777777" w:rsidR="00840BB1" w:rsidRDefault="00840BB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2ABF" w14:textId="77777777" w:rsidR="00840BB1" w:rsidRDefault="00840BB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C58B" w14:textId="77777777" w:rsidR="00840BB1" w:rsidRDefault="00840BB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81F3" w14:textId="77777777" w:rsidR="00CA4BAE" w:rsidRDefault="00CA4BAE">
      <w:pPr>
        <w:spacing w:after="0" w:line="240" w:lineRule="auto"/>
      </w:pPr>
      <w:r>
        <w:separator/>
      </w:r>
    </w:p>
  </w:footnote>
  <w:footnote w:type="continuationSeparator" w:id="0">
    <w:p w14:paraId="0A0892F3" w14:textId="77777777" w:rsidR="00CA4BAE" w:rsidRDefault="00CA4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7AB"/>
    <w:multiLevelType w:val="hybridMultilevel"/>
    <w:tmpl w:val="5D90CFC2"/>
    <w:lvl w:ilvl="0" w:tplc="C8C4A028">
      <w:start w:val="1"/>
      <w:numFmt w:val="bullet"/>
      <w:lvlText w:val="•"/>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E1218">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0C2200">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B86B8C">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AFD8C">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A6C19E">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202B6C">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2C2D8">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DEB7F0">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2D0309"/>
    <w:multiLevelType w:val="hybridMultilevel"/>
    <w:tmpl w:val="F88EEC08"/>
    <w:lvl w:ilvl="0" w:tplc="45263BEA">
      <w:start w:val="1"/>
      <w:numFmt w:val="decimal"/>
      <w:lvlText w:val="%1."/>
      <w:lvlJc w:val="left"/>
      <w:pPr>
        <w:ind w:left="720" w:hanging="288"/>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D8B58D5"/>
    <w:multiLevelType w:val="hybridMultilevel"/>
    <w:tmpl w:val="4C581B70"/>
    <w:lvl w:ilvl="0" w:tplc="04090017">
      <w:start w:val="1"/>
      <w:numFmt w:val="lowerLetter"/>
      <w:lvlText w:val="%1)"/>
      <w:lvlJc w:val="left"/>
      <w:pPr>
        <w:ind w:left="735"/>
      </w:pPr>
      <w:rPr>
        <w:b w:val="0"/>
        <w:i w:val="0"/>
        <w:strike w:val="0"/>
        <w:dstrike w:val="0"/>
        <w:color w:val="000000"/>
        <w:sz w:val="22"/>
        <w:szCs w:val="22"/>
        <w:u w:val="none" w:color="000000"/>
        <w:bdr w:val="none" w:sz="0" w:space="0" w:color="auto"/>
        <w:shd w:val="clear" w:color="auto" w:fill="auto"/>
        <w:vertAlign w:val="baseline"/>
      </w:rPr>
    </w:lvl>
    <w:lvl w:ilvl="1" w:tplc="0B3C5B50">
      <w:start w:val="1"/>
      <w:numFmt w:val="lowerLetter"/>
      <w:lvlText w:val="%2)"/>
      <w:lvlJc w:val="left"/>
      <w:pPr>
        <w:ind w:left="360" w:hanging="360"/>
      </w:pPr>
      <w:rPr>
        <w:rFonts w:hint="default"/>
      </w:rPr>
    </w:lvl>
    <w:lvl w:ilvl="2" w:tplc="CC544028">
      <w:start w:val="1"/>
      <w:numFmt w:val="lowerRoman"/>
      <w:lvlText w:val="%3"/>
      <w:lvlJc w:val="left"/>
      <w:pPr>
        <w:ind w:left="217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E03210">
      <w:start w:val="1"/>
      <w:numFmt w:val="decimal"/>
      <w:lvlText w:val="%4"/>
      <w:lvlJc w:val="left"/>
      <w:pPr>
        <w:ind w:left="289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5B4A86E">
      <w:start w:val="1"/>
      <w:numFmt w:val="lowerLetter"/>
      <w:lvlText w:val="%5"/>
      <w:lvlJc w:val="left"/>
      <w:pPr>
        <w:ind w:left="36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6F84706">
      <w:start w:val="1"/>
      <w:numFmt w:val="lowerRoman"/>
      <w:lvlText w:val="%6"/>
      <w:lvlJc w:val="left"/>
      <w:pPr>
        <w:ind w:left="43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B6A28F8">
      <w:start w:val="1"/>
      <w:numFmt w:val="decimal"/>
      <w:lvlText w:val="%7"/>
      <w:lvlJc w:val="left"/>
      <w:pPr>
        <w:ind w:left="505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130FDFA">
      <w:start w:val="1"/>
      <w:numFmt w:val="lowerLetter"/>
      <w:lvlText w:val="%8"/>
      <w:lvlJc w:val="left"/>
      <w:pPr>
        <w:ind w:left="577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E606E78">
      <w:start w:val="1"/>
      <w:numFmt w:val="lowerRoman"/>
      <w:lvlText w:val="%9"/>
      <w:lvlJc w:val="left"/>
      <w:pPr>
        <w:ind w:left="649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E33BE0"/>
    <w:multiLevelType w:val="hybridMultilevel"/>
    <w:tmpl w:val="2410C3E6"/>
    <w:lvl w:ilvl="0" w:tplc="FD5AFFA6">
      <w:start w:val="1"/>
      <w:numFmt w:val="lowerLetter"/>
      <w:lvlText w:val="%1)"/>
      <w:lvlJc w:val="left"/>
      <w:pPr>
        <w:ind w:left="735"/>
      </w:pPr>
      <w:rPr>
        <w:rFonts w:asciiTheme="minorHAnsi" w:eastAsia="Verdana" w:hAnsiTheme="minorHAnsi" w:cs="Verdana" w:hint="default"/>
        <w:b w:val="0"/>
        <w:i w:val="0"/>
        <w:strike w:val="0"/>
        <w:dstrike w:val="0"/>
        <w:color w:val="000000"/>
        <w:sz w:val="22"/>
        <w:szCs w:val="22"/>
        <w:u w:val="none" w:color="000000"/>
        <w:bdr w:val="none" w:sz="0" w:space="0" w:color="auto"/>
        <w:shd w:val="clear" w:color="auto" w:fill="auto"/>
        <w:vertAlign w:val="baseline"/>
      </w:rPr>
    </w:lvl>
    <w:lvl w:ilvl="1" w:tplc="884EAA44">
      <w:start w:val="1"/>
      <w:numFmt w:val="lowerLetter"/>
      <w:lvlText w:val="%2"/>
      <w:lvlJc w:val="left"/>
      <w:pPr>
        <w:ind w:left="145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1BEFF1A">
      <w:start w:val="1"/>
      <w:numFmt w:val="lowerRoman"/>
      <w:lvlText w:val="%3"/>
      <w:lvlJc w:val="left"/>
      <w:pPr>
        <w:ind w:left="217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214FAE2">
      <w:start w:val="1"/>
      <w:numFmt w:val="decimal"/>
      <w:lvlText w:val="%4"/>
      <w:lvlJc w:val="left"/>
      <w:pPr>
        <w:ind w:left="289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DB2E88E">
      <w:start w:val="1"/>
      <w:numFmt w:val="lowerLetter"/>
      <w:lvlText w:val="%5"/>
      <w:lvlJc w:val="left"/>
      <w:pPr>
        <w:ind w:left="36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7508076">
      <w:start w:val="1"/>
      <w:numFmt w:val="lowerRoman"/>
      <w:lvlText w:val="%6"/>
      <w:lvlJc w:val="left"/>
      <w:pPr>
        <w:ind w:left="43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29EA2A0">
      <w:start w:val="1"/>
      <w:numFmt w:val="decimal"/>
      <w:lvlText w:val="%7"/>
      <w:lvlJc w:val="left"/>
      <w:pPr>
        <w:ind w:left="505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470D3E4">
      <w:start w:val="1"/>
      <w:numFmt w:val="lowerLetter"/>
      <w:lvlText w:val="%8"/>
      <w:lvlJc w:val="left"/>
      <w:pPr>
        <w:ind w:left="577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FA6C856">
      <w:start w:val="1"/>
      <w:numFmt w:val="lowerRoman"/>
      <w:lvlText w:val="%9"/>
      <w:lvlJc w:val="left"/>
      <w:pPr>
        <w:ind w:left="649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6E2674"/>
    <w:multiLevelType w:val="hybridMultilevel"/>
    <w:tmpl w:val="CB0C00A0"/>
    <w:lvl w:ilvl="0" w:tplc="47E81E38">
      <w:start w:val="1"/>
      <w:numFmt w:val="lowerLetter"/>
      <w:lvlText w:val="%1)"/>
      <w:lvlJc w:val="left"/>
      <w:pPr>
        <w:ind w:left="735"/>
      </w:pPr>
      <w:rPr>
        <w:rFonts w:asciiTheme="minorHAnsi" w:eastAsia="Verdana" w:hAnsiTheme="minorHAnsi" w:cs="Verdana" w:hint="default"/>
        <w:b w:val="0"/>
        <w:i w:val="0"/>
        <w:strike w:val="0"/>
        <w:dstrike w:val="0"/>
        <w:color w:val="000000"/>
        <w:sz w:val="22"/>
        <w:szCs w:val="22"/>
        <w:u w:val="none" w:color="000000"/>
        <w:bdr w:val="none" w:sz="0" w:space="0" w:color="auto"/>
        <w:shd w:val="clear" w:color="auto" w:fill="auto"/>
        <w:vertAlign w:val="baseline"/>
      </w:rPr>
    </w:lvl>
    <w:lvl w:ilvl="1" w:tplc="5D526630">
      <w:start w:val="1"/>
      <w:numFmt w:val="lowerLetter"/>
      <w:lvlText w:val="%2"/>
      <w:lvlJc w:val="left"/>
      <w:pPr>
        <w:ind w:left="14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F4A4502">
      <w:start w:val="1"/>
      <w:numFmt w:val="lowerRoman"/>
      <w:lvlText w:val="%3"/>
      <w:lvlJc w:val="left"/>
      <w:pPr>
        <w:ind w:left="21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332B032">
      <w:start w:val="1"/>
      <w:numFmt w:val="decimal"/>
      <w:lvlText w:val="%4"/>
      <w:lvlJc w:val="left"/>
      <w:pPr>
        <w:ind w:left="28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33857B6">
      <w:start w:val="1"/>
      <w:numFmt w:val="lowerLetter"/>
      <w:lvlText w:val="%5"/>
      <w:lvlJc w:val="left"/>
      <w:pPr>
        <w:ind w:left="36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A8433D4">
      <w:start w:val="1"/>
      <w:numFmt w:val="lowerRoman"/>
      <w:lvlText w:val="%6"/>
      <w:lvlJc w:val="left"/>
      <w:pPr>
        <w:ind w:left="43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5F6FB04">
      <w:start w:val="1"/>
      <w:numFmt w:val="decimal"/>
      <w:lvlText w:val="%7"/>
      <w:lvlJc w:val="left"/>
      <w:pPr>
        <w:ind w:left="50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AF27E00">
      <w:start w:val="1"/>
      <w:numFmt w:val="lowerLetter"/>
      <w:lvlText w:val="%8"/>
      <w:lvlJc w:val="left"/>
      <w:pPr>
        <w:ind w:left="5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DD4991C">
      <w:start w:val="1"/>
      <w:numFmt w:val="lowerRoman"/>
      <w:lvlText w:val="%9"/>
      <w:lvlJc w:val="left"/>
      <w:pPr>
        <w:ind w:left="64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636ACF"/>
    <w:multiLevelType w:val="hybridMultilevel"/>
    <w:tmpl w:val="8F82D00E"/>
    <w:lvl w:ilvl="0" w:tplc="4F12F7B4">
      <w:start w:val="1"/>
      <w:numFmt w:val="decimal"/>
      <w:pStyle w:val="Heading1"/>
      <w:lvlText w:val="%1."/>
      <w:lvlJc w:val="left"/>
      <w:pPr>
        <w:ind w:left="0"/>
      </w:pPr>
      <w:rPr>
        <w:rFonts w:asciiTheme="minorHAnsi" w:eastAsia="Verdana" w:hAnsiTheme="minorHAnsi" w:cs="Verdana" w:hint="default"/>
        <w:b/>
        <w:bCs/>
        <w:i w:val="0"/>
        <w:strike w:val="0"/>
        <w:dstrike w:val="0"/>
        <w:color w:val="000000"/>
        <w:sz w:val="22"/>
        <w:szCs w:val="22"/>
        <w:u w:val="none" w:color="000000"/>
        <w:bdr w:val="none" w:sz="0" w:space="0" w:color="auto"/>
        <w:shd w:val="clear" w:color="auto" w:fill="auto"/>
        <w:vertAlign w:val="baseline"/>
      </w:rPr>
    </w:lvl>
    <w:lvl w:ilvl="1" w:tplc="CFD22388">
      <w:start w:val="1"/>
      <w:numFmt w:val="lowerLetter"/>
      <w:lvlText w:val="%2"/>
      <w:lvlJc w:val="left"/>
      <w:pPr>
        <w:ind w:left="109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5AD03E9A">
      <w:start w:val="1"/>
      <w:numFmt w:val="lowerRoman"/>
      <w:lvlText w:val="%3"/>
      <w:lvlJc w:val="left"/>
      <w:pPr>
        <w:ind w:left="181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E94EE95C">
      <w:start w:val="1"/>
      <w:numFmt w:val="decimal"/>
      <w:lvlText w:val="%4"/>
      <w:lvlJc w:val="left"/>
      <w:pPr>
        <w:ind w:left="25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030C4546">
      <w:start w:val="1"/>
      <w:numFmt w:val="lowerLetter"/>
      <w:lvlText w:val="%5"/>
      <w:lvlJc w:val="left"/>
      <w:pPr>
        <w:ind w:left="325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DC52EDFC">
      <w:start w:val="1"/>
      <w:numFmt w:val="lowerRoman"/>
      <w:lvlText w:val="%6"/>
      <w:lvlJc w:val="left"/>
      <w:pPr>
        <w:ind w:left="397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95186062">
      <w:start w:val="1"/>
      <w:numFmt w:val="decimal"/>
      <w:lvlText w:val="%7"/>
      <w:lvlJc w:val="left"/>
      <w:pPr>
        <w:ind w:left="469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09C4E8F8">
      <w:start w:val="1"/>
      <w:numFmt w:val="lowerLetter"/>
      <w:lvlText w:val="%8"/>
      <w:lvlJc w:val="left"/>
      <w:pPr>
        <w:ind w:left="541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AE8D202">
      <w:start w:val="1"/>
      <w:numFmt w:val="lowerRoman"/>
      <w:lvlText w:val="%9"/>
      <w:lvlJc w:val="left"/>
      <w:pPr>
        <w:ind w:left="61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D4C5DDA"/>
    <w:multiLevelType w:val="hybridMultilevel"/>
    <w:tmpl w:val="6B5C02E6"/>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902373543">
    <w:abstractNumId w:val="4"/>
  </w:num>
  <w:num w:numId="2" w16cid:durableId="942415575">
    <w:abstractNumId w:val="3"/>
  </w:num>
  <w:num w:numId="3" w16cid:durableId="1711301248">
    <w:abstractNumId w:val="2"/>
  </w:num>
  <w:num w:numId="4" w16cid:durableId="1419061129">
    <w:abstractNumId w:val="0"/>
  </w:num>
  <w:num w:numId="5" w16cid:durableId="1473592335">
    <w:abstractNumId w:val="5"/>
  </w:num>
  <w:num w:numId="6" w16cid:durableId="1097941452">
    <w:abstractNumId w:val="6"/>
  </w:num>
  <w:num w:numId="7" w16cid:durableId="115522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B1"/>
    <w:rsid w:val="001062AB"/>
    <w:rsid w:val="00114ECA"/>
    <w:rsid w:val="00160C6D"/>
    <w:rsid w:val="002949F3"/>
    <w:rsid w:val="00310165"/>
    <w:rsid w:val="0032744C"/>
    <w:rsid w:val="003830C8"/>
    <w:rsid w:val="0044337A"/>
    <w:rsid w:val="004A25E0"/>
    <w:rsid w:val="0056336C"/>
    <w:rsid w:val="0067512C"/>
    <w:rsid w:val="00690B0B"/>
    <w:rsid w:val="007053E5"/>
    <w:rsid w:val="0072509F"/>
    <w:rsid w:val="00764FA8"/>
    <w:rsid w:val="007C70DC"/>
    <w:rsid w:val="008271C6"/>
    <w:rsid w:val="00840BB1"/>
    <w:rsid w:val="0092407E"/>
    <w:rsid w:val="00A549E2"/>
    <w:rsid w:val="00A86B21"/>
    <w:rsid w:val="00C31613"/>
    <w:rsid w:val="00CA050C"/>
    <w:rsid w:val="00CA4BAE"/>
    <w:rsid w:val="00D045D6"/>
    <w:rsid w:val="00E519C4"/>
    <w:rsid w:val="00E701F1"/>
    <w:rsid w:val="00E93C43"/>
    <w:rsid w:val="00EF2B36"/>
    <w:rsid w:val="00F6278A"/>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1005D3"/>
  <w15:docId w15:val="{BE2357A0-5FB0-416B-B9A5-A5F7B66F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56" w:lineRule="auto"/>
      <w:ind w:left="16" w:hanging="1"/>
    </w:pPr>
    <w:rPr>
      <w:rFonts w:ascii="Verdana" w:eastAsia="Verdana" w:hAnsi="Verdana" w:cs="Verdana"/>
      <w:color w:val="000000"/>
      <w:sz w:val="22"/>
    </w:rPr>
  </w:style>
  <w:style w:type="paragraph" w:styleId="Heading1">
    <w:name w:val="heading 1"/>
    <w:next w:val="Normal"/>
    <w:link w:val="Heading1Char"/>
    <w:uiPriority w:val="9"/>
    <w:qFormat/>
    <w:pPr>
      <w:keepNext/>
      <w:keepLines/>
      <w:numPr>
        <w:numId w:val="5"/>
      </w:numPr>
      <w:spacing w:after="292" w:line="261" w:lineRule="auto"/>
      <w:ind w:left="25" w:hanging="10"/>
      <w:outlineLvl w:val="0"/>
    </w:pPr>
    <w:rPr>
      <w:rFonts w:ascii="Verdana" w:eastAsia="Verdana" w:hAnsi="Verdana" w:cs="Verdana"/>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styleId="Hyperlink">
    <w:name w:val="Hyperlink"/>
    <w:basedOn w:val="DefaultParagraphFont"/>
    <w:uiPriority w:val="99"/>
    <w:unhideWhenUsed/>
    <w:rsid w:val="00A549E2"/>
    <w:rPr>
      <w:color w:val="467886" w:themeColor="hyperlink"/>
      <w:u w:val="single"/>
    </w:rPr>
  </w:style>
  <w:style w:type="character" w:styleId="UnresolvedMention">
    <w:name w:val="Unresolved Mention"/>
    <w:basedOn w:val="DefaultParagraphFont"/>
    <w:uiPriority w:val="99"/>
    <w:semiHidden/>
    <w:unhideWhenUsed/>
    <w:rsid w:val="00A549E2"/>
    <w:rPr>
      <w:color w:val="605E5C"/>
      <w:shd w:val="clear" w:color="auto" w:fill="E1DFDD"/>
    </w:rPr>
  </w:style>
  <w:style w:type="character" w:styleId="FollowedHyperlink">
    <w:name w:val="FollowedHyperlink"/>
    <w:basedOn w:val="DefaultParagraphFont"/>
    <w:uiPriority w:val="99"/>
    <w:semiHidden/>
    <w:unhideWhenUsed/>
    <w:rsid w:val="00A549E2"/>
    <w:rPr>
      <w:color w:val="96607D" w:themeColor="followedHyperlink"/>
      <w:u w:val="single"/>
    </w:rPr>
  </w:style>
  <w:style w:type="paragraph" w:styleId="Header">
    <w:name w:val="header"/>
    <w:basedOn w:val="Normal"/>
    <w:link w:val="HeaderChar"/>
    <w:uiPriority w:val="99"/>
    <w:unhideWhenUsed/>
    <w:rsid w:val="00A5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E2"/>
    <w:rPr>
      <w:rFonts w:ascii="Verdana" w:eastAsia="Verdana" w:hAnsi="Verdana" w:cs="Verdana"/>
      <w:color w:val="000000"/>
      <w:sz w:val="22"/>
    </w:rPr>
  </w:style>
  <w:style w:type="paragraph" w:styleId="Footer">
    <w:name w:val="footer"/>
    <w:basedOn w:val="Normal"/>
    <w:link w:val="FooterChar"/>
    <w:uiPriority w:val="99"/>
    <w:unhideWhenUsed/>
    <w:rsid w:val="00A8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21"/>
    <w:rPr>
      <w:rFonts w:ascii="Verdana" w:eastAsia="Verdana" w:hAnsi="Verdana" w:cs="Verdana"/>
      <w:color w:val="000000"/>
      <w:sz w:val="22"/>
    </w:rPr>
  </w:style>
  <w:style w:type="paragraph" w:styleId="ListParagraph">
    <w:name w:val="List Paragraph"/>
    <w:basedOn w:val="Normal"/>
    <w:uiPriority w:val="34"/>
    <w:qFormat/>
    <w:rsid w:val="00FF5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simt.gov/wp-content/uploads/2026/01/CAPTIVE-MT-FISCAL-FILING-FORM.xlsx" TargetMode="External"/><Relationship Id="rId18" Type="http://schemas.openxmlformats.org/officeDocument/2006/relationships/hyperlink" Target="mailto:Dakota.terry@mt.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simt.gov/wp-content/uploads/2026/01/UPDATED-CAPTIVE-MT-SHORT-FORM-ENDING-2025-2.xlsx" TargetMode="External"/><Relationship Id="rId17" Type="http://schemas.openxmlformats.org/officeDocument/2006/relationships/hyperlink" Target="mailto:rbidon@mt.gov"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transfer.mt.gov/Home/Login?EPassError=Unauthorized&amp;ErrorCode=Unauthorized&amp;ErrorMessage=You%20do%20not%20have%20access%20to%20the%20requested%20resource.&amp;ReturnUrl=https%3a%2f%2ftransfer.mt.gov%2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transfer.mt.gov/Home/Login?EPassError=Unauthorized&amp;ErrorCode=Unauthorized&amp;ErrorMessage=You%20do%20not%20have%20access%20to%20the%20requested%20resource.&amp;ReturnUrl=https%3a%2f%2ftransfer.mt.gov%2f" TargetMode="Externa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i.captives@mt.gov" TargetMode="External"/><Relationship Id="rId14" Type="http://schemas.openxmlformats.org/officeDocument/2006/relationships/hyperlink" Target="https://transfer.mt.gov/Home/Login?EPassError=Unauthorized&amp;ErrorCode=Unauthorized&amp;ErrorMessage=You%20do%20not%20have%20access%20to%20the%20requested%20resource.&amp;ReturnUrl=https%3a%2f%2ftransfer.mt.gov%2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7FAC-6B22-485F-9C3F-1516D6DE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COMMISSIONER OF SECURITIES &amp; INSURANCE</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OF SECURITIES &amp; INSURANCE</dc:title>
  <dc:subject/>
  <dc:creator>CY0302</dc:creator>
  <cp:keywords/>
  <cp:lastModifiedBy>Bidon, Ramona</cp:lastModifiedBy>
  <cp:revision>5</cp:revision>
  <dcterms:created xsi:type="dcterms:W3CDTF">2026-01-26T21:19:00Z</dcterms:created>
  <dcterms:modified xsi:type="dcterms:W3CDTF">2026-01-29T22:10:00Z</dcterms:modified>
</cp:coreProperties>
</file>